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0587" w14:textId="77777777" w:rsidR="007D49D0" w:rsidRPr="007864EF" w:rsidRDefault="007D49D0" w:rsidP="007D49D0">
      <w:pPr>
        <w:autoSpaceDE w:val="0"/>
        <w:autoSpaceDN w:val="0"/>
        <w:jc w:val="both"/>
        <w:rPr>
          <w:rFonts w:cs="Calibri"/>
          <w:color w:val="000000"/>
          <w:sz w:val="18"/>
          <w:szCs w:val="18"/>
        </w:rPr>
      </w:pPr>
    </w:p>
    <w:p w14:paraId="6F40C2E3" w14:textId="7E7FD642" w:rsidR="007D49D0" w:rsidRPr="00A06051" w:rsidRDefault="007D49D0" w:rsidP="007D49D0">
      <w:pPr>
        <w:autoSpaceDE w:val="0"/>
        <w:autoSpaceDN w:val="0"/>
        <w:adjustRightInd w:val="0"/>
        <w:jc w:val="center"/>
        <w:rPr>
          <w:rFonts w:cs="Calibri,Bold"/>
          <w:b/>
          <w:bCs/>
          <w:i/>
          <w:color w:val="000000"/>
        </w:rPr>
      </w:pPr>
      <w:r>
        <w:rPr>
          <w:rFonts w:cs="Calibri,Bold"/>
          <w:b/>
          <w:bCs/>
          <w:i/>
          <w:color w:val="000000"/>
        </w:rPr>
        <w:t>PROJECT PROPOSAL</w:t>
      </w:r>
    </w:p>
    <w:p w14:paraId="22817D2C" w14:textId="77777777" w:rsidR="007D49D0" w:rsidRPr="00A06051" w:rsidRDefault="007D49D0" w:rsidP="007D49D0">
      <w:pPr>
        <w:autoSpaceDE w:val="0"/>
        <w:autoSpaceDN w:val="0"/>
        <w:adjustRightInd w:val="0"/>
        <w:jc w:val="both"/>
        <w:rPr>
          <w:rFonts w:cs="Calibri,Bold"/>
          <w:b/>
          <w:bCs/>
          <w:color w:val="000000"/>
        </w:rPr>
      </w:pPr>
    </w:p>
    <w:p w14:paraId="5CABBA74" w14:textId="77777777" w:rsidR="007D49D0" w:rsidRPr="00AB1986" w:rsidRDefault="007D49D0" w:rsidP="007D49D0">
      <w:pPr>
        <w:autoSpaceDE w:val="0"/>
        <w:autoSpaceDN w:val="0"/>
        <w:adjustRightInd w:val="0"/>
        <w:jc w:val="both"/>
        <w:rPr>
          <w:rFonts w:cs="Calibri,Bold"/>
          <w:b/>
          <w:bCs/>
          <w:color w:val="000000"/>
        </w:rPr>
      </w:pPr>
      <w:r w:rsidRPr="00AB1986">
        <w:rPr>
          <w:b/>
          <w:bCs/>
          <w:sz w:val="23"/>
          <w:szCs w:val="23"/>
        </w:rPr>
        <w:t>1 - Research project title</w:t>
      </w:r>
    </w:p>
    <w:p w14:paraId="431CDA31" w14:textId="4807723C" w:rsidR="007D49D0" w:rsidRPr="00CF2FA4" w:rsidRDefault="001C061C" w:rsidP="007D49D0">
      <w:pPr>
        <w:tabs>
          <w:tab w:val="left" w:pos="7088"/>
        </w:tabs>
        <w:autoSpaceDE w:val="0"/>
        <w:autoSpaceDN w:val="0"/>
        <w:adjustRightInd w:val="0"/>
        <w:jc w:val="both"/>
        <w:rPr>
          <w:rFonts w:cstheme="minorHAnsi"/>
          <w:lang w:val="en-GB"/>
        </w:rPr>
      </w:pPr>
      <w:r w:rsidRPr="001C061C">
        <w:rPr>
          <w:rFonts w:cstheme="minorHAnsi"/>
          <w:lang w:val="en-GB"/>
        </w:rPr>
        <w:t>Multi-</w:t>
      </w:r>
      <w:r w:rsidR="00921430">
        <w:rPr>
          <w:rFonts w:cstheme="minorHAnsi"/>
          <w:lang w:val="en-GB"/>
        </w:rPr>
        <w:t>O</w:t>
      </w:r>
      <w:r w:rsidRPr="001C061C">
        <w:rPr>
          <w:rFonts w:cstheme="minorHAnsi"/>
          <w:lang w:val="en-GB"/>
        </w:rPr>
        <w:t xml:space="preserve">mics </w:t>
      </w:r>
      <w:r w:rsidR="00921430">
        <w:rPr>
          <w:rFonts w:cstheme="minorHAnsi"/>
          <w:lang w:val="en-GB"/>
        </w:rPr>
        <w:t>M</w:t>
      </w:r>
      <w:r w:rsidRPr="001C061C">
        <w:rPr>
          <w:rFonts w:cstheme="minorHAnsi"/>
          <w:lang w:val="en-GB"/>
        </w:rPr>
        <w:t xml:space="preserve">eet </w:t>
      </w:r>
      <w:r w:rsidR="00921430">
        <w:rPr>
          <w:rFonts w:cstheme="minorHAnsi"/>
          <w:lang w:val="en-GB"/>
        </w:rPr>
        <w:t>A</w:t>
      </w:r>
      <w:r w:rsidRPr="001C061C">
        <w:rPr>
          <w:rFonts w:cstheme="minorHAnsi"/>
          <w:lang w:val="en-GB"/>
        </w:rPr>
        <w:t xml:space="preserve">rt and </w:t>
      </w:r>
      <w:r w:rsidR="00921430">
        <w:rPr>
          <w:rFonts w:cstheme="minorHAnsi"/>
          <w:lang w:val="en-GB"/>
        </w:rPr>
        <w:t>A</w:t>
      </w:r>
      <w:r w:rsidRPr="001C061C">
        <w:rPr>
          <w:rFonts w:cstheme="minorHAnsi"/>
          <w:lang w:val="en-GB"/>
        </w:rPr>
        <w:t>rchaeology</w:t>
      </w:r>
    </w:p>
    <w:p w14:paraId="23B728FE" w14:textId="77777777" w:rsidR="00282525" w:rsidRPr="00921430" w:rsidRDefault="00282525" w:rsidP="007D49D0">
      <w:pPr>
        <w:autoSpaceDE w:val="0"/>
        <w:autoSpaceDN w:val="0"/>
        <w:adjustRightInd w:val="0"/>
        <w:jc w:val="both"/>
        <w:rPr>
          <w:b/>
          <w:bCs/>
          <w:sz w:val="23"/>
          <w:szCs w:val="23"/>
          <w:lang w:val="en-GB"/>
        </w:rPr>
      </w:pPr>
    </w:p>
    <w:p w14:paraId="44EB72C6" w14:textId="7C92B859" w:rsidR="007D49D0" w:rsidRPr="002A7193" w:rsidRDefault="007D49D0" w:rsidP="007D49D0">
      <w:pPr>
        <w:autoSpaceDE w:val="0"/>
        <w:autoSpaceDN w:val="0"/>
        <w:adjustRightInd w:val="0"/>
        <w:jc w:val="both"/>
        <w:rPr>
          <w:sz w:val="23"/>
          <w:szCs w:val="23"/>
        </w:rPr>
      </w:pPr>
      <w:r w:rsidRPr="002A7193">
        <w:rPr>
          <w:b/>
          <w:bCs/>
          <w:sz w:val="23"/>
          <w:szCs w:val="23"/>
        </w:rPr>
        <w:t>2 - Key words</w:t>
      </w:r>
    </w:p>
    <w:p w14:paraId="179F0221" w14:textId="1A6E0E33" w:rsidR="007D49D0" w:rsidRPr="002A7193" w:rsidRDefault="00F207BB" w:rsidP="007D49D0">
      <w:pPr>
        <w:autoSpaceDE w:val="0"/>
        <w:autoSpaceDN w:val="0"/>
        <w:adjustRightInd w:val="0"/>
        <w:jc w:val="both"/>
        <w:rPr>
          <w:sz w:val="23"/>
          <w:szCs w:val="23"/>
        </w:rPr>
      </w:pPr>
      <w:r>
        <w:rPr>
          <w:sz w:val="23"/>
          <w:szCs w:val="23"/>
        </w:rPr>
        <w:t>omics</w:t>
      </w:r>
      <w:r w:rsidR="007D49D0" w:rsidRPr="00CF2FA4">
        <w:rPr>
          <w:sz w:val="23"/>
          <w:szCs w:val="23"/>
        </w:rPr>
        <w:t xml:space="preserve">, </w:t>
      </w:r>
      <w:r w:rsidR="002010A0">
        <w:rPr>
          <w:sz w:val="23"/>
          <w:szCs w:val="23"/>
        </w:rPr>
        <w:t>cultural heritage</w:t>
      </w:r>
      <w:r w:rsidR="007D49D0" w:rsidRPr="00CF2FA4">
        <w:rPr>
          <w:sz w:val="23"/>
          <w:szCs w:val="23"/>
        </w:rPr>
        <w:t xml:space="preserve">, </w:t>
      </w:r>
      <w:r w:rsidR="00A26366">
        <w:rPr>
          <w:sz w:val="23"/>
          <w:szCs w:val="23"/>
        </w:rPr>
        <w:t>microbial communities</w:t>
      </w:r>
    </w:p>
    <w:p w14:paraId="22E27F67" w14:textId="77777777" w:rsidR="00282525" w:rsidRDefault="00282525" w:rsidP="007D49D0">
      <w:pPr>
        <w:autoSpaceDE w:val="0"/>
        <w:autoSpaceDN w:val="0"/>
        <w:adjustRightInd w:val="0"/>
        <w:jc w:val="both"/>
        <w:rPr>
          <w:b/>
          <w:bCs/>
          <w:sz w:val="23"/>
          <w:szCs w:val="23"/>
        </w:rPr>
      </w:pPr>
    </w:p>
    <w:p w14:paraId="4A216A8E" w14:textId="44AC5916" w:rsidR="007D49D0" w:rsidRDefault="007D49D0" w:rsidP="007D49D0">
      <w:pPr>
        <w:autoSpaceDE w:val="0"/>
        <w:autoSpaceDN w:val="0"/>
        <w:adjustRightInd w:val="0"/>
        <w:jc w:val="both"/>
        <w:rPr>
          <w:sz w:val="23"/>
          <w:szCs w:val="23"/>
        </w:rPr>
      </w:pPr>
      <w:r w:rsidRPr="00AB1986">
        <w:rPr>
          <w:b/>
          <w:bCs/>
          <w:sz w:val="23"/>
          <w:szCs w:val="23"/>
        </w:rPr>
        <w:t>3 - Research project abstract</w:t>
      </w:r>
    </w:p>
    <w:p w14:paraId="66E61DEB" w14:textId="77777777" w:rsidR="00865FB7" w:rsidRDefault="00865FB7" w:rsidP="007D49D0">
      <w:pPr>
        <w:autoSpaceDE w:val="0"/>
        <w:autoSpaceDN w:val="0"/>
        <w:adjustRightInd w:val="0"/>
        <w:jc w:val="both"/>
        <w:rPr>
          <w:sz w:val="23"/>
          <w:szCs w:val="23"/>
        </w:rPr>
      </w:pPr>
    </w:p>
    <w:p w14:paraId="6F5204D0" w14:textId="12C0E90A" w:rsidR="00865FB7" w:rsidRDefault="00E01474" w:rsidP="007D49D0">
      <w:pPr>
        <w:autoSpaceDE w:val="0"/>
        <w:autoSpaceDN w:val="0"/>
        <w:adjustRightInd w:val="0"/>
        <w:jc w:val="both"/>
        <w:rPr>
          <w:sz w:val="23"/>
          <w:szCs w:val="23"/>
        </w:rPr>
      </w:pPr>
      <w:r>
        <w:rPr>
          <w:sz w:val="23"/>
          <w:szCs w:val="23"/>
        </w:rPr>
        <w:t xml:space="preserve">Serious concerns </w:t>
      </w:r>
      <w:r w:rsidR="00B03A55">
        <w:rPr>
          <w:sz w:val="23"/>
          <w:szCs w:val="23"/>
        </w:rPr>
        <w:t xml:space="preserve">regarding our tangible cultural heritage arise from </w:t>
      </w:r>
      <w:r w:rsidR="004B4D98">
        <w:rPr>
          <w:sz w:val="23"/>
          <w:szCs w:val="23"/>
        </w:rPr>
        <w:t>biodeterioration</w:t>
      </w:r>
      <w:r w:rsidR="000660C8">
        <w:rPr>
          <w:sz w:val="23"/>
          <w:szCs w:val="23"/>
        </w:rPr>
        <w:t xml:space="preserve">, </w:t>
      </w:r>
      <w:r w:rsidR="00A043AE">
        <w:rPr>
          <w:sz w:val="23"/>
          <w:szCs w:val="23"/>
        </w:rPr>
        <w:t xml:space="preserve">a process </w:t>
      </w:r>
      <w:r w:rsidR="000660C8">
        <w:rPr>
          <w:sz w:val="23"/>
          <w:szCs w:val="23"/>
        </w:rPr>
        <w:t xml:space="preserve">that </w:t>
      </w:r>
      <w:r w:rsidR="000660C8" w:rsidRPr="000660C8">
        <w:rPr>
          <w:sz w:val="23"/>
          <w:szCs w:val="23"/>
        </w:rPr>
        <w:t xml:space="preserve">involves complex ecological interplay among organisms, </w:t>
      </w:r>
      <w:r w:rsidR="00A043AE">
        <w:rPr>
          <w:sz w:val="23"/>
          <w:szCs w:val="23"/>
        </w:rPr>
        <w:t>whose</w:t>
      </w:r>
      <w:r w:rsidR="0037081A">
        <w:rPr>
          <w:sz w:val="23"/>
          <w:szCs w:val="23"/>
        </w:rPr>
        <w:t xml:space="preserve"> molecular</w:t>
      </w:r>
      <w:r w:rsidR="000660C8" w:rsidRPr="000660C8">
        <w:rPr>
          <w:sz w:val="23"/>
          <w:szCs w:val="23"/>
        </w:rPr>
        <w:t xml:space="preserve"> mechanisms </w:t>
      </w:r>
      <w:r w:rsidR="0037081A">
        <w:rPr>
          <w:sz w:val="23"/>
          <w:szCs w:val="23"/>
        </w:rPr>
        <w:t>are still</w:t>
      </w:r>
      <w:r w:rsidR="000660C8" w:rsidRPr="000660C8">
        <w:rPr>
          <w:sz w:val="23"/>
          <w:szCs w:val="23"/>
        </w:rPr>
        <w:t xml:space="preserve"> poorly understood</w:t>
      </w:r>
      <w:r w:rsidR="00D16652">
        <w:rPr>
          <w:sz w:val="23"/>
          <w:szCs w:val="23"/>
        </w:rPr>
        <w:t xml:space="preserve">. </w:t>
      </w:r>
      <w:r w:rsidR="00865FB7" w:rsidRPr="00865FB7">
        <w:rPr>
          <w:sz w:val="23"/>
          <w:szCs w:val="23"/>
        </w:rPr>
        <w:t>Multi-omics</w:t>
      </w:r>
      <w:r w:rsidR="00D16652">
        <w:rPr>
          <w:sz w:val="23"/>
          <w:szCs w:val="23"/>
        </w:rPr>
        <w:t xml:space="preserve"> approaches, </w:t>
      </w:r>
      <w:r w:rsidR="00360D4D">
        <w:rPr>
          <w:sz w:val="23"/>
          <w:szCs w:val="23"/>
        </w:rPr>
        <w:t>each of which</w:t>
      </w:r>
      <w:r w:rsidR="00D16652">
        <w:rPr>
          <w:sz w:val="23"/>
          <w:szCs w:val="23"/>
        </w:rPr>
        <w:t xml:space="preserve"> generate</w:t>
      </w:r>
      <w:r w:rsidR="00360D4D">
        <w:rPr>
          <w:sz w:val="23"/>
          <w:szCs w:val="23"/>
        </w:rPr>
        <w:t>s</w:t>
      </w:r>
      <w:r w:rsidR="00D16652">
        <w:rPr>
          <w:sz w:val="23"/>
          <w:szCs w:val="23"/>
        </w:rPr>
        <w:t xml:space="preserve"> </w:t>
      </w:r>
      <w:r w:rsidR="0025289B">
        <w:rPr>
          <w:sz w:val="23"/>
          <w:szCs w:val="23"/>
        </w:rPr>
        <w:t>huge amount of data</w:t>
      </w:r>
      <w:r w:rsidR="00360D4D">
        <w:rPr>
          <w:sz w:val="23"/>
          <w:szCs w:val="23"/>
        </w:rPr>
        <w:t>,</w:t>
      </w:r>
      <w:r w:rsidR="0025289B">
        <w:rPr>
          <w:sz w:val="23"/>
          <w:szCs w:val="23"/>
        </w:rPr>
        <w:t xml:space="preserve"> </w:t>
      </w:r>
      <w:r w:rsidR="00865FB7" w:rsidRPr="00865FB7">
        <w:rPr>
          <w:sz w:val="23"/>
          <w:szCs w:val="23"/>
        </w:rPr>
        <w:t>have recently been applied to artistic or archaeological objects, with the goal of either contributing to shedding light on the original context of the pieces and/or to inform conservation approaches</w:t>
      </w:r>
      <w:r w:rsidR="008A6B85">
        <w:rPr>
          <w:sz w:val="23"/>
          <w:szCs w:val="23"/>
        </w:rPr>
        <w:t xml:space="preserve">. </w:t>
      </w:r>
      <w:r w:rsidR="00FA0B7F">
        <w:rPr>
          <w:sz w:val="23"/>
          <w:szCs w:val="23"/>
        </w:rPr>
        <w:t xml:space="preserve">The </w:t>
      </w:r>
      <w:r w:rsidR="00CF679F">
        <w:rPr>
          <w:sz w:val="23"/>
          <w:szCs w:val="23"/>
        </w:rPr>
        <w:t xml:space="preserve">application and the </w:t>
      </w:r>
      <w:r w:rsidR="00633A2D">
        <w:rPr>
          <w:sz w:val="23"/>
          <w:szCs w:val="23"/>
        </w:rPr>
        <w:t xml:space="preserve">integration </w:t>
      </w:r>
      <w:r w:rsidR="00FA0B7F">
        <w:rPr>
          <w:sz w:val="23"/>
          <w:szCs w:val="23"/>
        </w:rPr>
        <w:t xml:space="preserve">of </w:t>
      </w:r>
      <w:r w:rsidR="00B7318A">
        <w:rPr>
          <w:sz w:val="23"/>
          <w:szCs w:val="23"/>
        </w:rPr>
        <w:t>metaproteomics and metagenomic</w:t>
      </w:r>
      <w:r w:rsidR="00EF2585">
        <w:rPr>
          <w:sz w:val="23"/>
          <w:szCs w:val="23"/>
        </w:rPr>
        <w:t xml:space="preserve"> approach to the field of cultural heritage is stil</w:t>
      </w:r>
      <w:r w:rsidR="007A611C">
        <w:rPr>
          <w:sz w:val="23"/>
          <w:szCs w:val="23"/>
        </w:rPr>
        <w:t>l in its infancy</w:t>
      </w:r>
      <w:r w:rsidR="00FA0B7F">
        <w:rPr>
          <w:sz w:val="23"/>
          <w:szCs w:val="23"/>
        </w:rPr>
        <w:t xml:space="preserve">, </w:t>
      </w:r>
      <w:r w:rsidR="00B7318A">
        <w:rPr>
          <w:sz w:val="23"/>
          <w:szCs w:val="23"/>
        </w:rPr>
        <w:t>and</w:t>
      </w:r>
      <w:r w:rsidR="00FA0B7F">
        <w:rPr>
          <w:sz w:val="23"/>
          <w:szCs w:val="23"/>
        </w:rPr>
        <w:t xml:space="preserve"> demands </w:t>
      </w:r>
      <w:r w:rsidR="007C6801">
        <w:rPr>
          <w:sz w:val="23"/>
          <w:szCs w:val="23"/>
        </w:rPr>
        <w:t xml:space="preserve">for </w:t>
      </w:r>
      <w:r w:rsidR="00CF679F">
        <w:rPr>
          <w:sz w:val="23"/>
          <w:szCs w:val="23"/>
        </w:rPr>
        <w:t xml:space="preserve">dedicated efforts that will combine </w:t>
      </w:r>
      <w:r w:rsidR="00BD6CDF">
        <w:rPr>
          <w:sz w:val="23"/>
          <w:szCs w:val="23"/>
        </w:rPr>
        <w:t xml:space="preserve">the huge amount of data </w:t>
      </w:r>
      <w:r w:rsidR="00C627CC" w:rsidRPr="00C627CC">
        <w:rPr>
          <w:sz w:val="23"/>
          <w:szCs w:val="23"/>
        </w:rPr>
        <w:t>that can eventually lead, beside the simple knowledge of the state of conservation of the specific piece of art, to the development of targeted prevention program.</w:t>
      </w:r>
      <w:r w:rsidR="00C627CC">
        <w:rPr>
          <w:sz w:val="23"/>
          <w:szCs w:val="23"/>
        </w:rPr>
        <w:t xml:space="preserve"> In this perspective, </w:t>
      </w:r>
      <w:r w:rsidR="008A1E5B">
        <w:rPr>
          <w:sz w:val="23"/>
          <w:szCs w:val="23"/>
        </w:rPr>
        <w:t>starting from</w:t>
      </w:r>
      <w:r w:rsidR="008C25BD">
        <w:rPr>
          <w:sz w:val="23"/>
          <w:szCs w:val="23"/>
        </w:rPr>
        <w:t xml:space="preserve"> a collection of painting test</w:t>
      </w:r>
      <w:r w:rsidR="00215950">
        <w:rPr>
          <w:sz w:val="23"/>
          <w:szCs w:val="23"/>
        </w:rPr>
        <w:t>s</w:t>
      </w:r>
      <w:r w:rsidR="008C25BD">
        <w:rPr>
          <w:sz w:val="23"/>
          <w:szCs w:val="23"/>
        </w:rPr>
        <w:t xml:space="preserve"> on which </w:t>
      </w:r>
      <w:r w:rsidR="00215950">
        <w:rPr>
          <w:sz w:val="23"/>
          <w:szCs w:val="23"/>
        </w:rPr>
        <w:t>microrganisms communities will be</w:t>
      </w:r>
      <w:r w:rsidR="00B97F55">
        <w:rPr>
          <w:sz w:val="23"/>
          <w:szCs w:val="23"/>
        </w:rPr>
        <w:t xml:space="preserve"> cultivated and identified, a </w:t>
      </w:r>
      <w:r w:rsidR="00921430">
        <w:rPr>
          <w:sz w:val="23"/>
          <w:szCs w:val="23"/>
        </w:rPr>
        <w:t xml:space="preserve">integrated </w:t>
      </w:r>
      <w:r w:rsidR="00B97F55">
        <w:rPr>
          <w:sz w:val="23"/>
          <w:szCs w:val="23"/>
        </w:rPr>
        <w:t>metaproteomic</w:t>
      </w:r>
      <w:r w:rsidR="00292BD0">
        <w:rPr>
          <w:sz w:val="23"/>
          <w:szCs w:val="23"/>
        </w:rPr>
        <w:t xml:space="preserve">s </w:t>
      </w:r>
      <w:r w:rsidR="00921430">
        <w:rPr>
          <w:sz w:val="23"/>
          <w:szCs w:val="23"/>
        </w:rPr>
        <w:t>and metagenomics approach</w:t>
      </w:r>
      <w:r w:rsidR="00292BD0">
        <w:rPr>
          <w:sz w:val="23"/>
          <w:szCs w:val="23"/>
        </w:rPr>
        <w:t xml:space="preserve"> will be used to characterize the </w:t>
      </w:r>
      <w:r w:rsidR="00FC05E0">
        <w:rPr>
          <w:sz w:val="23"/>
          <w:szCs w:val="23"/>
        </w:rPr>
        <w:t>activities that sy</w:t>
      </w:r>
      <w:r w:rsidR="00DD0F82">
        <w:rPr>
          <w:sz w:val="23"/>
          <w:szCs w:val="23"/>
        </w:rPr>
        <w:t>nergically can contribute to biodeterioration of the organic components</w:t>
      </w:r>
      <w:r w:rsidR="007121A6">
        <w:rPr>
          <w:sz w:val="23"/>
          <w:szCs w:val="23"/>
        </w:rPr>
        <w:t xml:space="preserve"> of the painting surface.</w:t>
      </w:r>
    </w:p>
    <w:p w14:paraId="069C6F03" w14:textId="77777777" w:rsidR="007D49D0" w:rsidRPr="00AB1986" w:rsidRDefault="007D49D0" w:rsidP="007D49D0">
      <w:pPr>
        <w:autoSpaceDE w:val="0"/>
        <w:autoSpaceDN w:val="0"/>
        <w:adjustRightInd w:val="0"/>
        <w:jc w:val="both"/>
        <w:rPr>
          <w:rFonts w:cs="Calibri,Bold"/>
          <w:b/>
          <w:bCs/>
          <w:color w:val="000000"/>
        </w:rPr>
      </w:pPr>
    </w:p>
    <w:p w14:paraId="3A5B8268" w14:textId="3F13FB0B" w:rsidR="007D49D0" w:rsidRDefault="007D49D0" w:rsidP="007D49D0">
      <w:pPr>
        <w:autoSpaceDE w:val="0"/>
        <w:autoSpaceDN w:val="0"/>
        <w:adjustRightInd w:val="0"/>
        <w:jc w:val="both"/>
        <w:rPr>
          <w:sz w:val="23"/>
          <w:szCs w:val="23"/>
        </w:rPr>
      </w:pPr>
      <w:r w:rsidRPr="00AB1986">
        <w:rPr>
          <w:b/>
          <w:bCs/>
          <w:sz w:val="23"/>
          <w:szCs w:val="23"/>
        </w:rPr>
        <w:t>4 - State of the art</w:t>
      </w:r>
    </w:p>
    <w:p w14:paraId="0689727D" w14:textId="77777777" w:rsidR="00E3259E" w:rsidRDefault="00E3259E" w:rsidP="007D49D0">
      <w:pPr>
        <w:jc w:val="both"/>
        <w:rPr>
          <w:rFonts w:cstheme="minorHAnsi"/>
          <w:lang w:val="en-GB"/>
        </w:rPr>
      </w:pPr>
    </w:p>
    <w:p w14:paraId="2E382E39" w14:textId="77777777" w:rsidR="00777DD6" w:rsidRPr="00777DD6" w:rsidRDefault="00777DD6" w:rsidP="00777DD6">
      <w:pPr>
        <w:jc w:val="both"/>
        <w:rPr>
          <w:rFonts w:cstheme="minorHAnsi"/>
          <w:lang w:val="en-GB"/>
        </w:rPr>
      </w:pPr>
      <w:r w:rsidRPr="00777DD6">
        <w:rPr>
          <w:rFonts w:cstheme="minorHAnsi"/>
          <w:lang w:val="en-GB"/>
        </w:rPr>
        <w:t xml:space="preserve">Multi-omics can informally be described as the combined use of high-throughput techniques allowing the characterization of complete microbial communities by the sequencing/identiﬁcation of total pools of biomolecules including DNA, proteins or metabolites. </w:t>
      </w:r>
    </w:p>
    <w:p w14:paraId="3C520F62" w14:textId="33E31790" w:rsidR="00777DD6" w:rsidRPr="00777DD6" w:rsidRDefault="00777DD6" w:rsidP="00777DD6">
      <w:pPr>
        <w:jc w:val="both"/>
        <w:rPr>
          <w:rFonts w:cstheme="minorHAnsi"/>
          <w:lang w:val="en-GB"/>
        </w:rPr>
      </w:pPr>
      <w:r w:rsidRPr="00777DD6">
        <w:rPr>
          <w:rFonts w:cstheme="minorHAnsi"/>
          <w:lang w:val="en-GB"/>
        </w:rPr>
        <w:t xml:space="preserve">These techniques have allowed an un precedented level of knowledge on complex microbial ecosystems, which is having key implications in land and marine ecology, industrial biotechnology or biomedicine. </w:t>
      </w:r>
      <w:r w:rsidR="00921430">
        <w:rPr>
          <w:rFonts w:cstheme="minorHAnsi"/>
          <w:lang w:val="en-GB"/>
        </w:rPr>
        <w:t>Only recently, m</w:t>
      </w:r>
      <w:r w:rsidRPr="00777DD6">
        <w:rPr>
          <w:rFonts w:cstheme="minorHAnsi"/>
          <w:lang w:val="en-GB"/>
        </w:rPr>
        <w:t>ulti-omics have been applied to artistic or archaeological objects, with the goal of either contributing to shedding light on the original context of the pieces and/or to inform conservation approaches.</w:t>
      </w:r>
    </w:p>
    <w:p w14:paraId="24087DA6" w14:textId="77777777" w:rsidR="00E46A11" w:rsidRDefault="00777DD6" w:rsidP="00777DD6">
      <w:pPr>
        <w:jc w:val="both"/>
        <w:rPr>
          <w:rFonts w:cstheme="minorHAnsi"/>
          <w:lang w:val="en-GB"/>
        </w:rPr>
      </w:pPr>
      <w:r w:rsidRPr="00777DD6">
        <w:rPr>
          <w:rFonts w:cstheme="minorHAnsi"/>
          <w:lang w:val="en-GB"/>
        </w:rPr>
        <w:t xml:space="preserve">In particular, metagenomics can be central for the identiﬁcation of the microbial key-players on artworks surfaces, whose conservation can then be approached by a range of techniques, including using selected microorganisms as ‘probiotics’ because of their direct or indirect effect in the stabilization and preservation of valuable art objects. Beyond taxonomic characterization and the eventual description of new taxa, a major goal of metagenomics is the artiﬁcial modiﬁcation of the micro-biome, often with the objective of improving the pieces’ conservation. </w:t>
      </w:r>
    </w:p>
    <w:p w14:paraId="1F4804D4" w14:textId="47F5E62D" w:rsidR="00921430" w:rsidRDefault="00E46A11" w:rsidP="00777DD6">
      <w:pPr>
        <w:jc w:val="both"/>
        <w:rPr>
          <w:rFonts w:cstheme="minorHAnsi"/>
          <w:lang w:val="en-GB"/>
        </w:rPr>
      </w:pPr>
      <w:r w:rsidRPr="00E46A11">
        <w:rPr>
          <w:rFonts w:cstheme="minorHAnsi"/>
          <w:lang w:val="en-GB"/>
        </w:rPr>
        <w:t xml:space="preserve">Using mass spectrometry (MS)-based proteomics profiling as a tool for characterizing </w:t>
      </w:r>
      <w:r>
        <w:rPr>
          <w:rFonts w:cstheme="minorHAnsi"/>
          <w:lang w:val="en-GB"/>
        </w:rPr>
        <w:t>the microbiome</w:t>
      </w:r>
      <w:r w:rsidRPr="00E46A11">
        <w:rPr>
          <w:rFonts w:cstheme="minorHAnsi"/>
          <w:lang w:val="en-GB"/>
        </w:rPr>
        <w:t xml:space="preserve"> </w:t>
      </w:r>
      <w:r>
        <w:rPr>
          <w:rFonts w:cstheme="minorHAnsi"/>
          <w:lang w:val="en-GB"/>
        </w:rPr>
        <w:t xml:space="preserve">living on archaeological and artistic objects </w:t>
      </w:r>
      <w:r w:rsidRPr="00E46A11">
        <w:rPr>
          <w:rFonts w:cstheme="minorHAnsi"/>
          <w:lang w:val="en-GB"/>
        </w:rPr>
        <w:t xml:space="preserve">is still unconventional. However, it has the potential to provide information about the functional and active microbiome through revealing the levels of individual proteins expressed by different organisms. Furthermore, </w:t>
      </w:r>
      <w:r w:rsidRPr="00E46A11">
        <w:rPr>
          <w:rFonts w:cstheme="minorHAnsi"/>
          <w:lang w:val="en-GB"/>
        </w:rPr>
        <w:lastRenderedPageBreak/>
        <w:t xml:space="preserve">meta- proteomics can identify the proteins </w:t>
      </w:r>
      <w:r w:rsidR="00DD5B6A">
        <w:rPr>
          <w:rFonts w:cstheme="minorHAnsi"/>
          <w:lang w:val="en-GB"/>
        </w:rPr>
        <w:t>present</w:t>
      </w:r>
      <w:r w:rsidRPr="00E46A11">
        <w:rPr>
          <w:rFonts w:cstheme="minorHAnsi"/>
          <w:lang w:val="en-GB"/>
        </w:rPr>
        <w:t xml:space="preserve"> </w:t>
      </w:r>
      <w:r w:rsidR="00DD5B6A">
        <w:rPr>
          <w:rFonts w:cstheme="minorHAnsi"/>
          <w:lang w:val="en-GB"/>
        </w:rPr>
        <w:t>within the artistic or archaeological object</w:t>
      </w:r>
      <w:r w:rsidRPr="00E46A11">
        <w:rPr>
          <w:rFonts w:cstheme="minorHAnsi"/>
          <w:lang w:val="en-GB"/>
        </w:rPr>
        <w:t xml:space="preserve">, and thus, </w:t>
      </w:r>
      <w:r w:rsidR="00DD5B6A">
        <w:rPr>
          <w:rFonts w:cstheme="minorHAnsi"/>
          <w:lang w:val="en-GB"/>
        </w:rPr>
        <w:t>give further insights into</w:t>
      </w:r>
      <w:r w:rsidRPr="00E46A11">
        <w:rPr>
          <w:rFonts w:cstheme="minorHAnsi"/>
          <w:lang w:val="en-GB"/>
        </w:rPr>
        <w:t xml:space="preserve"> possible interactions between the </w:t>
      </w:r>
      <w:r w:rsidR="00DD5B6A">
        <w:rPr>
          <w:rFonts w:cstheme="minorHAnsi"/>
          <w:lang w:val="en-GB"/>
        </w:rPr>
        <w:t>object and the active organisms</w:t>
      </w:r>
      <w:r w:rsidRPr="00E46A11">
        <w:rPr>
          <w:rFonts w:cstheme="minorHAnsi"/>
          <w:lang w:val="en-GB"/>
        </w:rPr>
        <w:t>.</w:t>
      </w:r>
    </w:p>
    <w:p w14:paraId="3324F1CD" w14:textId="69A5F80B" w:rsidR="00777DD6" w:rsidRPr="00777DD6" w:rsidRDefault="00777DD6" w:rsidP="001D3972">
      <w:pPr>
        <w:jc w:val="both"/>
        <w:rPr>
          <w:rFonts w:cstheme="minorHAnsi"/>
          <w:lang w:val="en-GB"/>
        </w:rPr>
      </w:pPr>
      <w:r w:rsidRPr="00777DD6">
        <w:rPr>
          <w:rFonts w:cstheme="minorHAnsi"/>
          <w:lang w:val="en-GB"/>
        </w:rPr>
        <w:t>Proteomics and metabolomics can provide paradigm-breaking results by unambiguously identifying peptides associated with a given, palaeo-cultural context. Combination of metagenomics and metaproteomics can indeed offer insights into the function of complex microbial communities, while it is also capable of revealing microbe–microbe and host–microbe interactions.</w:t>
      </w:r>
      <w:r w:rsidR="001D3972">
        <w:rPr>
          <w:rFonts w:cstheme="minorHAnsi"/>
          <w:lang w:val="en-GB"/>
        </w:rPr>
        <w:t xml:space="preserve"> </w:t>
      </w:r>
      <w:r w:rsidR="00A2501A">
        <w:rPr>
          <w:rFonts w:cstheme="minorHAnsi"/>
          <w:lang w:val="en-GB"/>
        </w:rPr>
        <w:t>Moreover</w:t>
      </w:r>
      <w:r w:rsidR="001D3972">
        <w:rPr>
          <w:rFonts w:cstheme="minorHAnsi"/>
          <w:lang w:val="en-GB"/>
        </w:rPr>
        <w:t xml:space="preserve">, </w:t>
      </w:r>
      <w:r w:rsidR="001D3972" w:rsidRPr="001D3972">
        <w:rPr>
          <w:rFonts w:cstheme="minorHAnsi"/>
          <w:lang w:val="en-GB"/>
        </w:rPr>
        <w:t>different biomolecules such as</w:t>
      </w:r>
      <w:r w:rsidR="001D3972">
        <w:rPr>
          <w:rFonts w:cstheme="minorHAnsi"/>
          <w:lang w:val="en-GB"/>
        </w:rPr>
        <w:t xml:space="preserve"> </w:t>
      </w:r>
      <w:r w:rsidR="001D3972" w:rsidRPr="001D3972">
        <w:rPr>
          <w:rFonts w:cstheme="minorHAnsi"/>
          <w:lang w:val="en-GB"/>
        </w:rPr>
        <w:t xml:space="preserve">lipids and secondary metabolites </w:t>
      </w:r>
      <w:r w:rsidR="001D3972">
        <w:rPr>
          <w:rFonts w:cstheme="minorHAnsi"/>
          <w:lang w:val="en-GB"/>
        </w:rPr>
        <w:t>can</w:t>
      </w:r>
      <w:r w:rsidR="001D3972" w:rsidRPr="001D3972">
        <w:rPr>
          <w:rFonts w:cstheme="minorHAnsi"/>
          <w:lang w:val="en-GB"/>
        </w:rPr>
        <w:t xml:space="preserve"> be analyzed through metabolomics, by using GC–MS (gas chromatography coupled to mass spectrometry) to investigate the composition of art elements and prehistoric objects </w:t>
      </w:r>
      <w:r w:rsidR="001D3972">
        <w:rPr>
          <w:rFonts w:cstheme="minorHAnsi"/>
          <w:lang w:val="en-GB"/>
        </w:rPr>
        <w:t xml:space="preserve">as well as specific metabolites </w:t>
      </w:r>
      <w:r w:rsidR="00477069">
        <w:rPr>
          <w:rFonts w:cstheme="minorHAnsi"/>
          <w:lang w:val="en-GB"/>
        </w:rPr>
        <w:t>differentially synthetized by the living organisms such as the biofilm layers on the object’s surface</w:t>
      </w:r>
      <w:r w:rsidR="001D3972" w:rsidRPr="001D3972">
        <w:rPr>
          <w:rFonts w:cstheme="minorHAnsi"/>
          <w:lang w:val="en-GB"/>
        </w:rPr>
        <w:t>.</w:t>
      </w:r>
    </w:p>
    <w:p w14:paraId="73849533" w14:textId="77777777" w:rsidR="00477069" w:rsidRDefault="00477069" w:rsidP="00777DD6">
      <w:pPr>
        <w:jc w:val="both"/>
        <w:rPr>
          <w:rFonts w:cstheme="minorHAnsi"/>
          <w:lang w:val="en-GB"/>
        </w:rPr>
      </w:pPr>
    </w:p>
    <w:p w14:paraId="4235B77D" w14:textId="119A9D1D" w:rsidR="00477069" w:rsidRDefault="00477069" w:rsidP="00777DD6">
      <w:pPr>
        <w:jc w:val="both"/>
        <w:rPr>
          <w:rFonts w:cstheme="minorHAnsi"/>
          <w:lang w:val="en-GB"/>
        </w:rPr>
      </w:pPr>
      <w:r>
        <w:rPr>
          <w:noProof/>
        </w:rPr>
        <w:drawing>
          <wp:inline distT="0" distB="0" distL="0" distR="0" wp14:anchorId="738A2438" wp14:editId="4DF41CB4">
            <wp:extent cx="5683250" cy="2525889"/>
            <wp:effectExtent l="0" t="0" r="0" b="8255"/>
            <wp:docPr id="2228490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49034" name=""/>
                    <pic:cNvPicPr/>
                  </pic:nvPicPr>
                  <pic:blipFill rotWithShape="1">
                    <a:blip r:embed="rId8"/>
                    <a:srcRect l="2994" t="29168" r="27162" b="15648"/>
                    <a:stretch/>
                  </pic:blipFill>
                  <pic:spPr bwMode="auto">
                    <a:xfrm>
                      <a:off x="0" y="0"/>
                      <a:ext cx="5693507" cy="2530447"/>
                    </a:xfrm>
                    <a:prstGeom prst="rect">
                      <a:avLst/>
                    </a:prstGeom>
                    <a:ln>
                      <a:noFill/>
                    </a:ln>
                    <a:extLst>
                      <a:ext uri="{53640926-AAD7-44D8-BBD7-CCE9431645EC}">
                        <a14:shadowObscured xmlns:a14="http://schemas.microsoft.com/office/drawing/2010/main"/>
                      </a:ext>
                    </a:extLst>
                  </pic:spPr>
                </pic:pic>
              </a:graphicData>
            </a:graphic>
          </wp:inline>
        </w:drawing>
      </w:r>
    </w:p>
    <w:p w14:paraId="5456C904" w14:textId="7E9CC508" w:rsidR="00477069" w:rsidRPr="00E82D4E" w:rsidRDefault="00E82D4E" w:rsidP="00777DD6">
      <w:pPr>
        <w:jc w:val="both"/>
        <w:rPr>
          <w:rFonts w:cstheme="minorHAnsi"/>
          <w:i/>
          <w:iCs/>
          <w:lang w:val="en-GB"/>
        </w:rPr>
      </w:pPr>
      <w:r w:rsidRPr="00E82D4E">
        <w:rPr>
          <w:rFonts w:cstheme="minorHAnsi"/>
          <w:lang w:val="en-GB"/>
        </w:rPr>
        <w:t>From</w:t>
      </w:r>
      <w:r w:rsidRPr="00E82D4E">
        <w:rPr>
          <w:rFonts w:cstheme="minorHAnsi"/>
          <w:i/>
          <w:iCs/>
          <w:lang w:val="en-GB"/>
        </w:rPr>
        <w:t>: C. Vilanova, M. Porcar, Art-omics: multi-omics meet archaeology and art conservation, Microb. Biotechnol. 13 (2020) 435–441. doi:10.1111/1751-7915.13480.</w:t>
      </w:r>
    </w:p>
    <w:p w14:paraId="2E4B15CB" w14:textId="77777777" w:rsidR="00477069" w:rsidRDefault="00477069" w:rsidP="00777DD6">
      <w:pPr>
        <w:jc w:val="both"/>
        <w:rPr>
          <w:rFonts w:cstheme="minorHAnsi"/>
          <w:lang w:val="en-GB"/>
        </w:rPr>
      </w:pPr>
    </w:p>
    <w:p w14:paraId="54C525BF" w14:textId="6E8D7375" w:rsidR="00477069" w:rsidRDefault="00A2501A" w:rsidP="00777DD6">
      <w:pPr>
        <w:jc w:val="both"/>
        <w:rPr>
          <w:rFonts w:cstheme="minorHAnsi"/>
          <w:lang w:val="en-GB"/>
        </w:rPr>
      </w:pPr>
      <w:r w:rsidRPr="00A2501A">
        <w:rPr>
          <w:rFonts w:cstheme="minorHAnsi"/>
          <w:lang w:val="en-GB"/>
        </w:rPr>
        <w:t xml:space="preserve">The advent of recent technological improvements in </w:t>
      </w:r>
      <w:r>
        <w:rPr>
          <w:rFonts w:cstheme="minorHAnsi"/>
          <w:lang w:val="en-GB"/>
        </w:rPr>
        <w:t>experimental</w:t>
      </w:r>
      <w:r w:rsidRPr="00A2501A">
        <w:rPr>
          <w:rFonts w:cstheme="minorHAnsi"/>
          <w:lang w:val="en-GB"/>
        </w:rPr>
        <w:t xml:space="preserve"> approaches have allowed meta</w:t>
      </w:r>
      <w:r>
        <w:rPr>
          <w:rFonts w:cstheme="minorHAnsi"/>
          <w:lang w:val="en-GB"/>
        </w:rPr>
        <w:t>-omic</w:t>
      </w:r>
      <w:r w:rsidRPr="00A2501A">
        <w:rPr>
          <w:rFonts w:cstheme="minorHAnsi"/>
          <w:lang w:val="en-GB"/>
        </w:rPr>
        <w:t>s to transition from small studies to large-scale experiments</w:t>
      </w:r>
      <w:r>
        <w:rPr>
          <w:rFonts w:cstheme="minorHAnsi"/>
          <w:lang w:val="en-GB"/>
        </w:rPr>
        <w:t xml:space="preserve">, generating an huge amount of data that are challenging for management and integration. </w:t>
      </w:r>
    </w:p>
    <w:p w14:paraId="1CA6BC67" w14:textId="77777777" w:rsidR="00A2501A" w:rsidRDefault="00A2501A" w:rsidP="00777DD6">
      <w:pPr>
        <w:jc w:val="both"/>
        <w:rPr>
          <w:rFonts w:cstheme="minorHAnsi"/>
          <w:lang w:val="en-GB"/>
        </w:rPr>
      </w:pPr>
    </w:p>
    <w:p w14:paraId="4E60C469" w14:textId="0C56A856" w:rsidR="00777DD6" w:rsidRDefault="00777DD6" w:rsidP="00777DD6">
      <w:pPr>
        <w:jc w:val="both"/>
        <w:rPr>
          <w:rFonts w:cstheme="minorHAnsi"/>
          <w:lang w:val="en-GB"/>
        </w:rPr>
      </w:pPr>
      <w:r w:rsidRPr="00777DD6">
        <w:rPr>
          <w:rFonts w:cstheme="minorHAnsi"/>
          <w:lang w:val="en-GB"/>
        </w:rPr>
        <w:t>Multi-omics have arisen as a new range of techniques that have proven helpful to either indirectly calculating the chronology or the cultural context of the pieces, as well as to provide relevant information on potential microbial degraders and stabilizers of the objects.</w:t>
      </w:r>
    </w:p>
    <w:p w14:paraId="70A184AB" w14:textId="77777777" w:rsidR="00777DD6" w:rsidRDefault="00777DD6" w:rsidP="00777DD6">
      <w:pPr>
        <w:jc w:val="both"/>
        <w:rPr>
          <w:rFonts w:cstheme="minorHAnsi"/>
          <w:lang w:val="en-GB"/>
        </w:rPr>
      </w:pPr>
    </w:p>
    <w:p w14:paraId="33AF2A9F" w14:textId="663E6729" w:rsidR="007D49D0" w:rsidRDefault="007D49D0" w:rsidP="007D49D0">
      <w:pPr>
        <w:tabs>
          <w:tab w:val="left" w:pos="7088"/>
        </w:tabs>
        <w:autoSpaceDE w:val="0"/>
        <w:autoSpaceDN w:val="0"/>
        <w:adjustRightInd w:val="0"/>
        <w:spacing w:after="120"/>
        <w:jc w:val="both"/>
        <w:rPr>
          <w:sz w:val="23"/>
          <w:szCs w:val="23"/>
        </w:rPr>
      </w:pPr>
      <w:r w:rsidRPr="00AB1986">
        <w:rPr>
          <w:b/>
          <w:bCs/>
          <w:sz w:val="23"/>
          <w:szCs w:val="23"/>
        </w:rPr>
        <w:t>5 - Objectives and results that the project aims to achieve</w:t>
      </w:r>
    </w:p>
    <w:p w14:paraId="10437606" w14:textId="1C8B4892" w:rsidR="00860F45" w:rsidRDefault="001D3972" w:rsidP="007D49D0">
      <w:pPr>
        <w:jc w:val="both"/>
        <w:rPr>
          <w:rFonts w:cstheme="minorHAnsi"/>
          <w:lang w:val="en-GB"/>
        </w:rPr>
      </w:pPr>
      <w:r w:rsidRPr="001D3972">
        <w:rPr>
          <w:rFonts w:cstheme="minorHAnsi"/>
          <w:lang w:val="en-GB"/>
        </w:rPr>
        <w:t xml:space="preserve">The main advantages of -omic technologies for research </w:t>
      </w:r>
      <w:r>
        <w:rPr>
          <w:rFonts w:cstheme="minorHAnsi"/>
          <w:lang w:val="en-GB"/>
        </w:rPr>
        <w:t>in the cultural heritage field would steam from</w:t>
      </w:r>
      <w:r w:rsidRPr="001D3972">
        <w:rPr>
          <w:rFonts w:cstheme="minorHAnsi"/>
          <w:lang w:val="en-GB"/>
        </w:rPr>
        <w:t xml:space="preserve"> their untargeted nature and the high-throughput generation of data, since they are able to simultaneously yield information on a broad repertoire of biomolecules present in a sample. Hence, with the same amount of sample used in traditional biomolecular analysis to obtain information on a given molecule, omic technologies are able to generate an exhaustive dataset on thousands of molecules. </w:t>
      </w:r>
      <w:r w:rsidR="00A7079E" w:rsidRPr="00A7079E">
        <w:rPr>
          <w:rFonts w:cstheme="minorHAnsi"/>
          <w:lang w:val="en-GB"/>
        </w:rPr>
        <w:t xml:space="preserve">The principal aims of this project are to set up </w:t>
      </w:r>
      <w:r w:rsidR="00A7079E" w:rsidRPr="00A7079E">
        <w:rPr>
          <w:rFonts w:cstheme="minorHAnsi"/>
          <w:lang w:val="en-GB"/>
        </w:rPr>
        <w:lastRenderedPageBreak/>
        <w:t>good practise multi-omics protocol to face biodeterioration of cultural heritage by/and the use of painting surfaces as starting set of samples.</w:t>
      </w:r>
    </w:p>
    <w:p w14:paraId="768C31DF" w14:textId="77777777" w:rsidR="00B52DE9" w:rsidRDefault="00B52DE9" w:rsidP="007D49D0">
      <w:pPr>
        <w:jc w:val="both"/>
        <w:rPr>
          <w:rFonts w:cstheme="minorHAnsi"/>
          <w:lang w:val="en-GB"/>
        </w:rPr>
      </w:pPr>
    </w:p>
    <w:p w14:paraId="015B0CE3" w14:textId="7567A26D" w:rsidR="007D49D0" w:rsidRDefault="007D49D0" w:rsidP="007D49D0">
      <w:pPr>
        <w:tabs>
          <w:tab w:val="left" w:pos="7088"/>
        </w:tabs>
        <w:autoSpaceDE w:val="0"/>
        <w:autoSpaceDN w:val="0"/>
        <w:adjustRightInd w:val="0"/>
        <w:jc w:val="both"/>
        <w:rPr>
          <w:sz w:val="23"/>
          <w:szCs w:val="23"/>
        </w:rPr>
      </w:pPr>
      <w:r w:rsidRPr="00AB1986">
        <w:rPr>
          <w:rFonts w:ascii="Calibri" w:hAnsi="Calibri" w:cs="Calibri"/>
          <w:b/>
          <w:bCs/>
          <w:sz w:val="23"/>
          <w:szCs w:val="23"/>
        </w:rPr>
        <w:t>6 - Scientific and/or technological and/or social and/or economic impact of the project</w:t>
      </w:r>
    </w:p>
    <w:p w14:paraId="1D0A0E53" w14:textId="77777777" w:rsidR="007D49D0" w:rsidRDefault="007D49D0" w:rsidP="007D49D0">
      <w:pPr>
        <w:tabs>
          <w:tab w:val="left" w:pos="7088"/>
        </w:tabs>
        <w:autoSpaceDE w:val="0"/>
        <w:autoSpaceDN w:val="0"/>
        <w:adjustRightInd w:val="0"/>
        <w:jc w:val="both"/>
        <w:rPr>
          <w:sz w:val="23"/>
          <w:szCs w:val="23"/>
        </w:rPr>
      </w:pPr>
    </w:p>
    <w:p w14:paraId="148C7585" w14:textId="77777777" w:rsidR="00140FE4" w:rsidRPr="00140FE4" w:rsidRDefault="00140FE4" w:rsidP="00140FE4">
      <w:pPr>
        <w:tabs>
          <w:tab w:val="left" w:pos="7088"/>
        </w:tabs>
        <w:autoSpaceDE w:val="0"/>
        <w:autoSpaceDN w:val="0"/>
        <w:adjustRightInd w:val="0"/>
        <w:spacing w:after="120"/>
        <w:jc w:val="both"/>
        <w:rPr>
          <w:rFonts w:eastAsia="MS Mincho" w:cstheme="minorHAnsi"/>
          <w:lang w:val="en-GB"/>
        </w:rPr>
      </w:pPr>
      <w:r w:rsidRPr="00140FE4">
        <w:rPr>
          <w:rFonts w:eastAsia="MS Mincho" w:cstheme="minorHAnsi"/>
          <w:lang w:val="en-GB"/>
        </w:rPr>
        <w:t xml:space="preserve">Multi-omics have arisen as a new range of techniques that have proven helpful to either indirectly calculating the chronology or the cultural context of the pieces, as well as to provide relevant information on potential microbial degraders and stabilizers of the objects. </w:t>
      </w:r>
    </w:p>
    <w:p w14:paraId="6B852C02" w14:textId="77777777" w:rsidR="00140FE4" w:rsidRPr="00140FE4" w:rsidRDefault="00140FE4" w:rsidP="00140FE4">
      <w:pPr>
        <w:tabs>
          <w:tab w:val="left" w:pos="7088"/>
        </w:tabs>
        <w:autoSpaceDE w:val="0"/>
        <w:autoSpaceDN w:val="0"/>
        <w:adjustRightInd w:val="0"/>
        <w:spacing w:after="120"/>
        <w:jc w:val="both"/>
        <w:rPr>
          <w:rFonts w:eastAsia="MS Mincho" w:cstheme="minorHAnsi"/>
          <w:lang w:val="en-GB"/>
        </w:rPr>
      </w:pPr>
      <w:r w:rsidRPr="00140FE4">
        <w:rPr>
          <w:rFonts w:eastAsia="MS Mincho" w:cstheme="minorHAnsi"/>
          <w:lang w:val="en-GB"/>
        </w:rPr>
        <w:t>The two main advantages of -omic technologies for archaeological research are their untargeted nature and the high-throughput generation of data, since they are able to simultaneously yield information on a broad repertoire of biomolecules present in a sample.</w:t>
      </w:r>
    </w:p>
    <w:p w14:paraId="481D8D1A" w14:textId="77777777" w:rsidR="001176FC" w:rsidRDefault="00140FE4" w:rsidP="00140FE4">
      <w:pPr>
        <w:tabs>
          <w:tab w:val="left" w:pos="7088"/>
        </w:tabs>
        <w:autoSpaceDE w:val="0"/>
        <w:autoSpaceDN w:val="0"/>
        <w:adjustRightInd w:val="0"/>
        <w:spacing w:after="120"/>
        <w:jc w:val="both"/>
        <w:rPr>
          <w:rFonts w:eastAsia="MS Mincho" w:cstheme="minorHAnsi"/>
          <w:lang w:val="en-GB"/>
        </w:rPr>
      </w:pPr>
      <w:r w:rsidRPr="00140FE4">
        <w:rPr>
          <w:rFonts w:eastAsia="MS Mincho" w:cstheme="minorHAnsi"/>
          <w:lang w:val="en-GB"/>
        </w:rPr>
        <w:t>The use of non-targeted omics strategies requires high-resolution and sensitive analytical technologies to capture as many analytes as possible and to increase the information content accordingly. Very large data sets are inevitably generated using omics approaches, and bioinformatic and chemometric methods must be used for data evaluation. Bioinformatic approaches primarily include sequence analysis and are used in genomics and proteomics datasets. Data evaluation should not be underestimated and, depending on the selected omics approach and the data structure, can involve a great deal of time and effort. The bioinformatics workflow required for metaproteomics research, from the database search and protein quantification to downstream functional and taxonomic analysis has been challenging and thus limiting the accessibility of metaproteomics to microbiome researchers. By combining the various omics levels, a comprehensive elementary and molecular profile can be created about an object and a maximum depth of information can be generated that can eventually lead, beside the simple knowledge of the state of conservation of the specific piece of art, to the development of targeted prevention program.</w:t>
      </w:r>
    </w:p>
    <w:p w14:paraId="204DF309" w14:textId="00B8AEFB" w:rsidR="007D49D0" w:rsidRDefault="007D49D0" w:rsidP="00140FE4">
      <w:pPr>
        <w:tabs>
          <w:tab w:val="left" w:pos="7088"/>
        </w:tabs>
        <w:autoSpaceDE w:val="0"/>
        <w:autoSpaceDN w:val="0"/>
        <w:adjustRightInd w:val="0"/>
        <w:spacing w:after="120"/>
        <w:jc w:val="both"/>
        <w:rPr>
          <w:sz w:val="23"/>
          <w:szCs w:val="23"/>
        </w:rPr>
      </w:pPr>
      <w:r w:rsidRPr="00AB1986">
        <w:rPr>
          <w:rFonts w:cs="Calibri,Bold"/>
          <w:b/>
          <w:bCs/>
          <w:color w:val="000000"/>
        </w:rPr>
        <w:t xml:space="preserve">7 </w:t>
      </w:r>
      <w:r>
        <w:rPr>
          <w:rFonts w:cs="Calibri,Bold"/>
          <w:b/>
          <w:bCs/>
          <w:color w:val="000000"/>
        </w:rPr>
        <w:t>-</w:t>
      </w:r>
      <w:r w:rsidRPr="00AB1986">
        <w:rPr>
          <w:rFonts w:cs="Calibri,Bold"/>
          <w:b/>
          <w:bCs/>
          <w:color w:val="000000"/>
        </w:rPr>
        <w:t xml:space="preserve"> Methodologies that are planned to be used</w:t>
      </w:r>
      <w:r w:rsidRPr="00AB1986">
        <w:rPr>
          <w:rFonts w:cs="Calibri,Bold"/>
          <w:bCs/>
          <w:color w:val="000000"/>
        </w:rPr>
        <w:t xml:space="preserve"> </w:t>
      </w:r>
      <w:r w:rsidRPr="00AB1986">
        <w:rPr>
          <w:sz w:val="23"/>
          <w:szCs w:val="23"/>
        </w:rPr>
        <w:t>(Max. 1000 characters)</w:t>
      </w:r>
    </w:p>
    <w:p w14:paraId="3578BFD9" w14:textId="400FEB8A" w:rsidR="00B52DE9" w:rsidRDefault="00B52DE9" w:rsidP="00B52DE9">
      <w:pPr>
        <w:jc w:val="both"/>
        <w:rPr>
          <w:rFonts w:cstheme="minorHAnsi"/>
          <w:lang w:val="en-GB"/>
        </w:rPr>
      </w:pPr>
      <w:r>
        <w:rPr>
          <w:rFonts w:cstheme="minorHAnsi"/>
          <w:lang w:val="en-GB"/>
        </w:rPr>
        <w:t xml:space="preserve">In this research project, a </w:t>
      </w:r>
      <w:r w:rsidRPr="00A7079E">
        <w:rPr>
          <w:rFonts w:cstheme="minorHAnsi"/>
          <w:lang w:val="en-GB"/>
        </w:rPr>
        <w:t>metaproteogenomics analysis of</w:t>
      </w:r>
      <w:r>
        <w:rPr>
          <w:rFonts w:cstheme="minorHAnsi"/>
          <w:lang w:val="en-GB"/>
        </w:rPr>
        <w:t xml:space="preserve"> samples constituted by microbial communities grown on different combinations of pigments/proteinaceous binders (namely, egg, milk and glue from hides, the usual ones used in tempera paintings) will be explored to investigate possible variation of the protein/activity profile upon binder and/or pigment. Ideally, 4 pigments for three binders (egg, milk and glue from hides) plus three samples of binders without any pigment will be the substrates on which microbial communities or isolated  microorganisms will be grown.</w:t>
      </w:r>
    </w:p>
    <w:p w14:paraId="14E86831" w14:textId="5FBBEDFE" w:rsidR="00B52DE9" w:rsidRDefault="00B52DE9" w:rsidP="00B52DE9">
      <w:pPr>
        <w:jc w:val="both"/>
        <w:rPr>
          <w:rFonts w:cstheme="minorHAnsi"/>
          <w:lang w:val="en-GB"/>
        </w:rPr>
      </w:pPr>
      <w:r>
        <w:rPr>
          <w:rFonts w:cstheme="minorHAnsi"/>
          <w:lang w:val="en-GB"/>
        </w:rPr>
        <w:t>Then metaproteogenomics analyses and metabolomics analyses will be carried out.</w:t>
      </w:r>
    </w:p>
    <w:p w14:paraId="7464C411" w14:textId="7462FF48" w:rsidR="00B52DE9" w:rsidRDefault="00B52DE9" w:rsidP="00B52DE9">
      <w:pPr>
        <w:jc w:val="both"/>
        <w:rPr>
          <w:rFonts w:cstheme="minorHAnsi"/>
          <w:lang w:val="en-GB"/>
        </w:rPr>
      </w:pPr>
      <w:r>
        <w:rPr>
          <w:rFonts w:cstheme="minorHAnsi"/>
          <w:lang w:val="en-GB"/>
        </w:rPr>
        <w:t>In a m</w:t>
      </w:r>
      <w:r w:rsidRPr="00555E59">
        <w:rPr>
          <w:rFonts w:cstheme="minorHAnsi"/>
          <w:lang w:val="en-GB"/>
        </w:rPr>
        <w:t xml:space="preserve">etaproteogenomics </w:t>
      </w:r>
      <w:r>
        <w:rPr>
          <w:rFonts w:cstheme="minorHAnsi"/>
          <w:lang w:val="en-GB"/>
        </w:rPr>
        <w:t xml:space="preserve">approach, such as that proposed by </w:t>
      </w:r>
      <w:r w:rsidRPr="00C328FE">
        <w:rPr>
          <w:rFonts w:cstheme="minorHAnsi"/>
          <w:lang w:val="en-GB"/>
        </w:rPr>
        <w:t>Unipept Desktop application analysis pipeline</w:t>
      </w:r>
      <w:r>
        <w:rPr>
          <w:rFonts w:cstheme="minorHAnsi"/>
          <w:lang w:val="en-GB"/>
        </w:rPr>
        <w:t xml:space="preserve"> depicted below, </w:t>
      </w:r>
      <w:r w:rsidRPr="00555E59">
        <w:rPr>
          <w:rFonts w:cstheme="minorHAnsi"/>
          <w:lang w:val="en-GB"/>
        </w:rPr>
        <w:t>tries to overcome this problem by exploiting information from prior metagenomic data experi- ments from the same environment. The metagenomics experiment is used to explore the taxonomic composition of an ecosystem, which subsequently guides the researcher to query only a subset of the reference database in the subsequent metaproteomics experiment</w:t>
      </w:r>
      <w:r>
        <w:rPr>
          <w:rFonts w:cstheme="minorHAnsi"/>
          <w:lang w:val="en-GB"/>
        </w:rPr>
        <w:t>.</w:t>
      </w:r>
    </w:p>
    <w:p w14:paraId="58C2B104" w14:textId="77777777" w:rsidR="00B52DE9" w:rsidRDefault="00B52DE9" w:rsidP="00B52DE9">
      <w:pPr>
        <w:jc w:val="both"/>
        <w:rPr>
          <w:rFonts w:cstheme="minorHAnsi"/>
          <w:lang w:val="en-GB"/>
        </w:rPr>
      </w:pPr>
    </w:p>
    <w:p w14:paraId="400DD592" w14:textId="77777777" w:rsidR="00B52DE9" w:rsidRDefault="00B52DE9" w:rsidP="00B52DE9">
      <w:pPr>
        <w:jc w:val="both"/>
        <w:rPr>
          <w:rFonts w:cstheme="minorHAnsi"/>
          <w:lang w:val="en-GB"/>
        </w:rPr>
      </w:pPr>
    </w:p>
    <w:p w14:paraId="6DC72A30" w14:textId="77777777" w:rsidR="00B52DE9" w:rsidRDefault="00B52DE9" w:rsidP="00B52DE9">
      <w:pPr>
        <w:jc w:val="both"/>
        <w:rPr>
          <w:rFonts w:cstheme="minorHAnsi"/>
          <w:lang w:val="en-GB"/>
        </w:rPr>
      </w:pPr>
      <w:r>
        <w:rPr>
          <w:noProof/>
        </w:rPr>
        <w:lastRenderedPageBreak/>
        <w:drawing>
          <wp:inline distT="0" distB="0" distL="0" distR="0" wp14:anchorId="52B03BA3" wp14:editId="4DECC617">
            <wp:extent cx="5524958" cy="1809750"/>
            <wp:effectExtent l="0" t="0" r="0" b="0"/>
            <wp:docPr id="144403206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32064" name=""/>
                    <pic:cNvPicPr/>
                  </pic:nvPicPr>
                  <pic:blipFill rotWithShape="1">
                    <a:blip r:embed="rId9"/>
                    <a:srcRect l="3436" t="27592" r="26165" b="31415"/>
                    <a:stretch/>
                  </pic:blipFill>
                  <pic:spPr bwMode="auto">
                    <a:xfrm>
                      <a:off x="0" y="0"/>
                      <a:ext cx="5530622" cy="1811605"/>
                    </a:xfrm>
                    <a:prstGeom prst="rect">
                      <a:avLst/>
                    </a:prstGeom>
                    <a:ln>
                      <a:noFill/>
                    </a:ln>
                    <a:extLst>
                      <a:ext uri="{53640926-AAD7-44D8-BBD7-CCE9431645EC}">
                        <a14:shadowObscured xmlns:a14="http://schemas.microsoft.com/office/drawing/2010/main"/>
                      </a:ext>
                    </a:extLst>
                  </pic:spPr>
                </pic:pic>
              </a:graphicData>
            </a:graphic>
          </wp:inline>
        </w:drawing>
      </w:r>
    </w:p>
    <w:p w14:paraId="0CAA5FB6" w14:textId="77777777" w:rsidR="00B52DE9" w:rsidRDefault="00B52DE9" w:rsidP="00B52DE9">
      <w:pPr>
        <w:jc w:val="both"/>
        <w:rPr>
          <w:rFonts w:cstheme="minorHAnsi"/>
          <w:lang w:val="en-GB"/>
        </w:rPr>
      </w:pPr>
    </w:p>
    <w:p w14:paraId="7F268EB9" w14:textId="77777777" w:rsidR="00B52DE9" w:rsidRDefault="00B52DE9" w:rsidP="00B52DE9">
      <w:pPr>
        <w:jc w:val="both"/>
        <w:rPr>
          <w:rFonts w:cstheme="minorHAnsi"/>
          <w:lang w:val="en-GB"/>
        </w:rPr>
      </w:pPr>
    </w:p>
    <w:p w14:paraId="053E4599" w14:textId="77777777" w:rsidR="00B52DE9" w:rsidRDefault="00B52DE9" w:rsidP="00B52DE9">
      <w:pPr>
        <w:jc w:val="both"/>
        <w:rPr>
          <w:rFonts w:cstheme="minorHAnsi"/>
          <w:lang w:val="en-GB"/>
        </w:rPr>
      </w:pPr>
      <w:r>
        <w:rPr>
          <w:rFonts w:cstheme="minorHAnsi"/>
          <w:lang w:val="en-GB"/>
        </w:rPr>
        <w:t>From:</w:t>
      </w:r>
      <w:r w:rsidRPr="00C328FE">
        <w:rPr>
          <w:rFonts w:cstheme="minorHAnsi"/>
          <w:lang w:val="en-GB"/>
        </w:rPr>
        <w:t xml:space="preserve"> </w:t>
      </w:r>
      <w:r w:rsidRPr="00C328FE">
        <w:rPr>
          <w:rFonts w:cstheme="minorHAnsi"/>
          <w:i/>
          <w:iCs/>
          <w:lang w:val="en-GB"/>
        </w:rPr>
        <w:t>P. Verschaffelt, et al., Unipept Desktop 2.0: Construction of Targeted Reference Protein Databases for Metaproteogenomics Analyses, J. Proteome Res. 22 (2023) 2620–2628. doi:10.1021/acs.jproteome.3c00091</w:t>
      </w:r>
      <w:r w:rsidRPr="00C328FE">
        <w:rPr>
          <w:rFonts w:cstheme="minorHAnsi"/>
          <w:lang w:val="en-GB"/>
        </w:rPr>
        <w:t xml:space="preserve">. </w:t>
      </w:r>
    </w:p>
    <w:p w14:paraId="4100B1C2" w14:textId="77777777" w:rsidR="00B52DE9" w:rsidRPr="00E42B2D" w:rsidRDefault="00B52DE9" w:rsidP="00B52DE9">
      <w:pPr>
        <w:pStyle w:val="Default"/>
        <w:rPr>
          <w:sz w:val="20"/>
          <w:szCs w:val="20"/>
          <w:lang w:val="en-US"/>
        </w:rPr>
      </w:pPr>
    </w:p>
    <w:p w14:paraId="683F78B1" w14:textId="77777777" w:rsidR="00B52DE9" w:rsidRPr="00B52DE9" w:rsidRDefault="00B52DE9" w:rsidP="007D49D0">
      <w:pPr>
        <w:spacing w:after="120"/>
        <w:jc w:val="both"/>
        <w:rPr>
          <w:rFonts w:eastAsia="MS Mincho" w:cstheme="minorHAnsi"/>
        </w:rPr>
      </w:pPr>
    </w:p>
    <w:p w14:paraId="638BC0BC" w14:textId="5E11A858" w:rsidR="007D49D0" w:rsidRPr="006E5B0B" w:rsidRDefault="007D49D0" w:rsidP="007D49D0">
      <w:pPr>
        <w:pStyle w:val="Paragrafoelenco"/>
        <w:jc w:val="both"/>
      </w:pPr>
      <w:r w:rsidRPr="006E5B0B">
        <w:rPr>
          <w:rFonts w:cs="Calibri,Bold"/>
          <w:b/>
          <w:bCs/>
          <w:color w:val="000000"/>
        </w:rPr>
        <w:t xml:space="preserve">8- </w:t>
      </w:r>
      <w:r w:rsidRPr="006E5B0B">
        <w:rPr>
          <w:rFonts w:cs="Calibri"/>
          <w:b/>
          <w:bCs/>
          <w:i/>
          <w:color w:val="000000"/>
        </w:rPr>
        <w:t>PI</w:t>
      </w:r>
    </w:p>
    <w:p w14:paraId="036DEAEE" w14:textId="212AB7A2" w:rsidR="007D49D0" w:rsidRPr="006E5B0B" w:rsidRDefault="007D49D0" w:rsidP="007D49D0">
      <w:pPr>
        <w:autoSpaceDE w:val="0"/>
        <w:autoSpaceDN w:val="0"/>
        <w:adjustRightInd w:val="0"/>
        <w:jc w:val="both"/>
        <w:rPr>
          <w:rFonts w:cs="Calibri,Bold"/>
          <w:b/>
          <w:bCs/>
          <w:color w:val="000000"/>
        </w:rPr>
      </w:pPr>
      <w:r w:rsidRPr="006E5B0B">
        <w:rPr>
          <w:rFonts w:cs="Calibri,Bold"/>
          <w:b/>
          <w:bCs/>
          <w:color w:val="000000"/>
        </w:rPr>
        <w:t xml:space="preserve">First and last name: </w:t>
      </w:r>
      <w:r w:rsidRPr="006E5B0B">
        <w:rPr>
          <w:rFonts w:cs="Calibri,Bold"/>
          <w:b/>
          <w:bCs/>
          <w:color w:val="000000"/>
        </w:rPr>
        <w:tab/>
        <w:t>Alessandro Vergara (Full Professor of Physical Chemistry</w:t>
      </w:r>
      <w:r w:rsidRPr="006E5B0B">
        <w:rPr>
          <w:rFonts w:cs="Calibri,Bold"/>
          <w:b/>
          <w:color w:val="000000"/>
        </w:rPr>
        <w:t>, CHIM-02</w:t>
      </w:r>
      <w:r w:rsidRPr="006E5B0B">
        <w:rPr>
          <w:rFonts w:cs="Calibri,Bold"/>
          <w:b/>
          <w:bCs/>
          <w:color w:val="000000"/>
        </w:rPr>
        <w:t>)</w:t>
      </w:r>
    </w:p>
    <w:p w14:paraId="2ADA5EE4" w14:textId="4A7577D3" w:rsidR="007D49D0" w:rsidRPr="006E5B0B" w:rsidRDefault="007D49D0" w:rsidP="007D49D0">
      <w:pPr>
        <w:tabs>
          <w:tab w:val="left" w:pos="7088"/>
        </w:tabs>
        <w:autoSpaceDE w:val="0"/>
        <w:autoSpaceDN w:val="0"/>
        <w:adjustRightInd w:val="0"/>
        <w:jc w:val="both"/>
        <w:rPr>
          <w:rFonts w:cs="Calibri,Bold"/>
          <w:b/>
          <w:bCs/>
          <w:color w:val="000000"/>
        </w:rPr>
      </w:pPr>
      <w:r w:rsidRPr="006E5B0B">
        <w:rPr>
          <w:rFonts w:cs="Calibri,Bold"/>
          <w:b/>
          <w:bCs/>
          <w:color w:val="000000"/>
        </w:rPr>
        <w:t xml:space="preserve">PI bibliography: </w:t>
      </w:r>
    </w:p>
    <w:p w14:paraId="16770DAC" w14:textId="28338005" w:rsidR="007D49D0" w:rsidRPr="006E5B0B" w:rsidRDefault="007D49D0" w:rsidP="007D49D0">
      <w:pPr>
        <w:autoSpaceDE w:val="0"/>
        <w:autoSpaceDN w:val="0"/>
        <w:adjustRightInd w:val="0"/>
        <w:jc w:val="both"/>
        <w:rPr>
          <w:rFonts w:cs="Calibri,Bold"/>
          <w:b/>
          <w:color w:val="000000"/>
        </w:rPr>
      </w:pPr>
      <w:r w:rsidRPr="006E5B0B">
        <w:rPr>
          <w:rFonts w:cs="Calibri,Bold"/>
          <w:b/>
          <w:bCs/>
          <w:color w:val="000000"/>
        </w:rPr>
        <w:t>H-index =</w:t>
      </w:r>
      <w:r w:rsidR="009C7ED5" w:rsidRPr="00596FA0">
        <w:rPr>
          <w:rFonts w:cs="Calibri,Bold"/>
          <w:color w:val="000000"/>
        </w:rPr>
        <w:t>30</w:t>
      </w:r>
    </w:p>
    <w:p w14:paraId="705445D7" w14:textId="4DF07780" w:rsidR="007D49D0" w:rsidRPr="006E5B0B" w:rsidRDefault="007D49D0" w:rsidP="007D49D0">
      <w:pPr>
        <w:autoSpaceDE w:val="0"/>
        <w:autoSpaceDN w:val="0"/>
        <w:adjustRightInd w:val="0"/>
        <w:jc w:val="both"/>
        <w:rPr>
          <w:rFonts w:cs="Calibri,Bold"/>
          <w:b/>
          <w:bCs/>
          <w:color w:val="000000"/>
        </w:rPr>
      </w:pPr>
      <w:r w:rsidRPr="006E5B0B">
        <w:rPr>
          <w:rFonts w:cs="Calibri,Bold"/>
          <w:b/>
          <w:color w:val="000000"/>
        </w:rPr>
        <w:t>Number published papers in the last 5 years</w:t>
      </w:r>
      <w:r w:rsidRPr="006E5B0B">
        <w:rPr>
          <w:rFonts w:cs="Calibri,Bold"/>
          <w:b/>
          <w:bCs/>
          <w:color w:val="000000"/>
        </w:rPr>
        <w:t xml:space="preserve">: </w:t>
      </w:r>
      <w:r w:rsidRPr="006E5B0B">
        <w:rPr>
          <w:rFonts w:cs="Calibri,Bold"/>
          <w:color w:val="000000"/>
        </w:rPr>
        <w:t>2</w:t>
      </w:r>
      <w:r w:rsidR="005A18F5">
        <w:rPr>
          <w:rFonts w:cs="Calibri,Bold"/>
          <w:color w:val="000000"/>
        </w:rPr>
        <w:t>2</w:t>
      </w:r>
    </w:p>
    <w:p w14:paraId="6C083872" w14:textId="2AA2AC3B" w:rsidR="007D49D0" w:rsidRPr="00596FA0" w:rsidRDefault="007D49D0" w:rsidP="007D49D0">
      <w:pPr>
        <w:autoSpaceDE w:val="0"/>
        <w:autoSpaceDN w:val="0"/>
        <w:adjustRightInd w:val="0"/>
        <w:jc w:val="both"/>
        <w:rPr>
          <w:rFonts w:cs="Calibri,Bold"/>
          <w:color w:val="000000"/>
        </w:rPr>
      </w:pPr>
      <w:r w:rsidRPr="006E5B0B">
        <w:rPr>
          <w:rFonts w:cs="Calibri,Bold"/>
          <w:b/>
          <w:bCs/>
          <w:color w:val="000000"/>
        </w:rPr>
        <w:t xml:space="preserve">I.F. of best publications in the last 5 y: </w:t>
      </w:r>
      <w:r w:rsidR="00596FA0" w:rsidRPr="00596FA0">
        <w:rPr>
          <w:rFonts w:cs="Calibri,Bold"/>
          <w:color w:val="000000"/>
        </w:rPr>
        <w:t xml:space="preserve">14, 14, </w:t>
      </w:r>
      <w:r w:rsidR="000624AB">
        <w:rPr>
          <w:rFonts w:cs="Calibri,Bold"/>
          <w:color w:val="000000"/>
        </w:rPr>
        <w:t>9</w:t>
      </w:r>
      <w:r w:rsidR="00596FA0" w:rsidRPr="00596FA0">
        <w:rPr>
          <w:rFonts w:cs="Calibri,Bold"/>
          <w:color w:val="000000"/>
        </w:rPr>
        <w:t>, 5, 5</w:t>
      </w:r>
    </w:p>
    <w:p w14:paraId="5CF875B0" w14:textId="77777777" w:rsidR="007D49D0" w:rsidRPr="00A114C1" w:rsidRDefault="007D49D0" w:rsidP="007D49D0">
      <w:pPr>
        <w:autoSpaceDE w:val="0"/>
        <w:autoSpaceDN w:val="0"/>
        <w:adjustRightInd w:val="0"/>
        <w:jc w:val="both"/>
        <w:rPr>
          <w:rFonts w:cs="Calibri,Bold"/>
          <w:b/>
          <w:bCs/>
          <w:color w:val="000000"/>
        </w:rPr>
      </w:pPr>
    </w:p>
    <w:p w14:paraId="42C7C3D8" w14:textId="7EADB057" w:rsidR="007D49D0" w:rsidRPr="004E2425" w:rsidRDefault="007D49D0" w:rsidP="007D49D0">
      <w:pPr>
        <w:tabs>
          <w:tab w:val="left" w:pos="7088"/>
        </w:tabs>
        <w:autoSpaceDE w:val="0"/>
        <w:autoSpaceDN w:val="0"/>
        <w:adjustRightInd w:val="0"/>
        <w:jc w:val="both"/>
        <w:rPr>
          <w:rFonts w:cs="Calibri,Bold"/>
          <w:b/>
          <w:bCs/>
          <w:color w:val="000000"/>
        </w:rPr>
      </w:pPr>
      <w:r w:rsidRPr="004E2425">
        <w:rPr>
          <w:rFonts w:cs="Calibri,Bold"/>
          <w:b/>
          <w:bCs/>
          <w:color w:val="000000"/>
        </w:rPr>
        <w:t>PI’s publications most relevant to the project (biomolecules metalation)</w:t>
      </w:r>
    </w:p>
    <w:p w14:paraId="04B10652" w14:textId="77777777" w:rsidR="007D49D0" w:rsidRDefault="007D49D0" w:rsidP="007D49D0">
      <w:pPr>
        <w:autoSpaceDE w:val="0"/>
        <w:autoSpaceDN w:val="0"/>
        <w:adjustRightInd w:val="0"/>
        <w:jc w:val="both"/>
        <w:rPr>
          <w:rFonts w:cs="Calibri"/>
          <w:color w:val="000000"/>
          <w:sz w:val="18"/>
          <w:szCs w:val="18"/>
          <w:highlight w:val="yellow"/>
        </w:rPr>
      </w:pPr>
    </w:p>
    <w:p w14:paraId="18BD48AA" w14:textId="1D9090A9" w:rsidR="007D032E" w:rsidRPr="00093065" w:rsidRDefault="007D032E" w:rsidP="007D032E">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hyperlink r:id="rId10" w:history="1">
        <w:r w:rsidRPr="00093065">
          <w:rPr>
            <w:rStyle w:val="Collegamentoipertestuale"/>
            <w:sz w:val="22"/>
            <w:szCs w:val="22"/>
            <w:lang w:val="en-US"/>
          </w:rPr>
          <w:t>Microplastics, microfibers and associated microbiota biofilm analysis in seawater, a case study from the Vesuvian Coast, southern Italy</w:t>
        </w:r>
      </w:hyperlink>
      <w:r w:rsidRPr="00093065">
        <w:rPr>
          <w:sz w:val="22"/>
          <w:szCs w:val="22"/>
          <w:lang w:val="en-US"/>
        </w:rPr>
        <w:t>, M Rossi, A Vergara, R Troisi, M Alberico, F Carraturo, M Salamone, ...Journal of Hazardous Materials, 137468</w:t>
      </w:r>
      <w:r w:rsidR="00741066">
        <w:rPr>
          <w:sz w:val="22"/>
          <w:szCs w:val="22"/>
          <w:lang w:val="en-US"/>
        </w:rPr>
        <w:t xml:space="preserve"> (2025)</w:t>
      </w:r>
    </w:p>
    <w:p w14:paraId="30995A08" w14:textId="6E72598F" w:rsidR="007D032E" w:rsidRPr="00A114C1" w:rsidRDefault="007D032E" w:rsidP="007D032E">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hyperlink r:id="rId11" w:history="1">
        <w:r w:rsidRPr="00A114C1">
          <w:rPr>
            <w:rStyle w:val="Collegamentoipertestuale"/>
            <w:sz w:val="22"/>
            <w:szCs w:val="22"/>
            <w:lang w:val="en-US"/>
          </w:rPr>
          <w:t>Deterioration-associated microbiome of a modern photographic artwork: the case of </w:t>
        </w:r>
        <w:r w:rsidRPr="00A114C1">
          <w:rPr>
            <w:rStyle w:val="Collegamentoipertestuale"/>
            <w:i/>
            <w:iCs/>
            <w:sz w:val="22"/>
            <w:szCs w:val="22"/>
            <w:lang w:val="en-US"/>
          </w:rPr>
          <w:t>Skull and Crossbones</w:t>
        </w:r>
        <w:r w:rsidRPr="00A114C1">
          <w:rPr>
            <w:rStyle w:val="Collegamentoipertestuale"/>
            <w:sz w:val="22"/>
            <w:szCs w:val="22"/>
            <w:lang w:val="en-US"/>
          </w:rPr>
          <w:t> by Robert Mapplethorpe</w:t>
        </w:r>
      </w:hyperlink>
      <w:r w:rsidRPr="00A114C1">
        <w:rPr>
          <w:sz w:val="22"/>
          <w:szCs w:val="22"/>
          <w:lang w:val="en-US"/>
        </w:rPr>
        <w:t>,</w:t>
      </w:r>
      <w:r>
        <w:rPr>
          <w:sz w:val="22"/>
          <w:szCs w:val="22"/>
          <w:lang w:val="en-US"/>
        </w:rPr>
        <w:t xml:space="preserve"> </w:t>
      </w:r>
      <w:r w:rsidRPr="00A114C1">
        <w:rPr>
          <w:sz w:val="22"/>
          <w:szCs w:val="22"/>
          <w:lang w:val="en-US"/>
        </w:rPr>
        <w:t>M Petraretti, A De Natale, A Del Mondo, R Troisi, O De Castro, N Mormile, ..., Heritage Science 12 (1), 172</w:t>
      </w:r>
      <w:r w:rsidR="00F029AC">
        <w:rPr>
          <w:sz w:val="22"/>
          <w:szCs w:val="22"/>
          <w:lang w:val="en-US"/>
        </w:rPr>
        <w:t xml:space="preserve"> (2024)</w:t>
      </w:r>
    </w:p>
    <w:p w14:paraId="061FA832" w14:textId="3E94EBF4" w:rsidR="007D032E" w:rsidRDefault="007D032E" w:rsidP="007D032E">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hyperlink r:id="rId12" w:history="1">
        <w:r w:rsidRPr="00093065">
          <w:rPr>
            <w:rStyle w:val="Collegamentoipertestuale"/>
            <w:sz w:val="22"/>
            <w:szCs w:val="22"/>
            <w:lang w:val="en-US"/>
          </w:rPr>
          <w:t>On the Identification of the a fresco or a secco Preparative Technique of Wall Paintings.</w:t>
        </w:r>
      </w:hyperlink>
      <w:r w:rsidRPr="00A114C1">
        <w:rPr>
          <w:sz w:val="22"/>
          <w:szCs w:val="22"/>
          <w:lang w:val="en-US"/>
        </w:rPr>
        <w:t xml:space="preserve">, </w:t>
      </w:r>
      <w:r w:rsidRPr="00093065">
        <w:rPr>
          <w:sz w:val="22"/>
          <w:szCs w:val="22"/>
          <w:lang w:val="en-US"/>
        </w:rPr>
        <w:t>G Ntasi, M Rossi, M Alberico, A Tomeo, L Birolo, A Vergara</w:t>
      </w:r>
      <w:r w:rsidRPr="00A114C1">
        <w:rPr>
          <w:sz w:val="22"/>
          <w:szCs w:val="22"/>
          <w:lang w:val="en-US"/>
        </w:rPr>
        <w:t xml:space="preserve">, </w:t>
      </w:r>
      <w:r w:rsidRPr="00093065">
        <w:rPr>
          <w:sz w:val="22"/>
          <w:szCs w:val="22"/>
          <w:lang w:val="en-US"/>
        </w:rPr>
        <w:t>Heritage (2571-9408) 7 (8)</w:t>
      </w:r>
      <w:r w:rsidR="00741066">
        <w:rPr>
          <w:sz w:val="22"/>
          <w:szCs w:val="22"/>
          <w:lang w:val="en-US"/>
        </w:rPr>
        <w:t xml:space="preserve"> (2024)</w:t>
      </w:r>
    </w:p>
    <w:p w14:paraId="0640160B" w14:textId="697CA4FE" w:rsidR="00F029AC" w:rsidRPr="00F029AC" w:rsidRDefault="00F029AC" w:rsidP="00F029AC">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hyperlink r:id="rId13" w:history="1">
        <w:r w:rsidRPr="00F029AC">
          <w:rPr>
            <w:rStyle w:val="Collegamentoipertestuale"/>
            <w:sz w:val="22"/>
            <w:szCs w:val="22"/>
            <w:lang w:val="en-US"/>
          </w:rPr>
          <w:t>Mechanism of Be-Thermodiffusion in Rutile Inclusions of Fancy Sapphires</w:t>
        </w:r>
      </w:hyperlink>
      <w:r w:rsidRPr="00F029AC">
        <w:rPr>
          <w:sz w:val="22"/>
          <w:szCs w:val="22"/>
          <w:lang w:val="en-US"/>
        </w:rPr>
        <w:t>,</w:t>
      </w:r>
      <w:r>
        <w:rPr>
          <w:sz w:val="22"/>
          <w:szCs w:val="22"/>
          <w:lang w:val="en-US"/>
        </w:rPr>
        <w:t xml:space="preserve"> </w:t>
      </w:r>
      <w:r w:rsidRPr="00F029AC">
        <w:rPr>
          <w:sz w:val="22"/>
          <w:szCs w:val="22"/>
          <w:lang w:val="en-US"/>
        </w:rPr>
        <w:t>M Rossi, R Biondi, R Rizzi, N Corriero, F Sequino, A Vergara</w:t>
      </w:r>
      <w:r w:rsidRPr="00741066">
        <w:rPr>
          <w:sz w:val="22"/>
          <w:szCs w:val="22"/>
          <w:lang w:val="en-US"/>
        </w:rPr>
        <w:t xml:space="preserve">, </w:t>
      </w:r>
      <w:r w:rsidRPr="00F029AC">
        <w:rPr>
          <w:sz w:val="22"/>
          <w:szCs w:val="22"/>
          <w:lang w:val="en-US"/>
        </w:rPr>
        <w:t>Crystal Growth &amp; Design 22 (11), 6493-6503</w:t>
      </w:r>
      <w:r w:rsidRPr="00741066">
        <w:rPr>
          <w:sz w:val="22"/>
          <w:szCs w:val="22"/>
          <w:lang w:val="en-US"/>
        </w:rPr>
        <w:t xml:space="preserve"> (2022)</w:t>
      </w:r>
    </w:p>
    <w:p w14:paraId="07843DFD" w14:textId="24A057A8" w:rsidR="007D032E" w:rsidRPr="005A18F5" w:rsidRDefault="007D032E" w:rsidP="007D032E">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hyperlink r:id="rId14" w:history="1">
        <w:r w:rsidRPr="005A18F5">
          <w:rPr>
            <w:rStyle w:val="Collegamentoipertestuale"/>
            <w:sz w:val="22"/>
            <w:szCs w:val="22"/>
            <w:lang w:val="en-US"/>
          </w:rPr>
          <w:t>On the productive function of furnaces in archaeological sites</w:t>
        </w:r>
      </w:hyperlink>
      <w:r w:rsidRPr="00A114C1">
        <w:rPr>
          <w:sz w:val="22"/>
          <w:szCs w:val="22"/>
          <w:lang w:val="en-US"/>
        </w:rPr>
        <w:t xml:space="preserve">, </w:t>
      </w:r>
      <w:r w:rsidRPr="005A18F5">
        <w:rPr>
          <w:sz w:val="22"/>
          <w:szCs w:val="22"/>
          <w:lang w:val="en-US"/>
        </w:rPr>
        <w:t>M Rossi, N De Riso, M Caterino, G Ferraro, L Cicala, B Ferrara, ...</w:t>
      </w:r>
      <w:r w:rsidRPr="00A114C1">
        <w:rPr>
          <w:sz w:val="22"/>
          <w:szCs w:val="22"/>
          <w:lang w:val="en-US"/>
        </w:rPr>
        <w:t xml:space="preserve">, </w:t>
      </w:r>
      <w:r w:rsidRPr="005A18F5">
        <w:rPr>
          <w:sz w:val="22"/>
          <w:szCs w:val="22"/>
          <w:lang w:val="en-US"/>
        </w:rPr>
        <w:t>Journal of Raman Spectroscopy 52 (1), 217-229</w:t>
      </w:r>
      <w:r w:rsidR="00F029AC">
        <w:rPr>
          <w:sz w:val="22"/>
          <w:szCs w:val="22"/>
          <w:lang w:val="en-US"/>
        </w:rPr>
        <w:t xml:space="preserve"> (2021)</w:t>
      </w:r>
    </w:p>
    <w:p w14:paraId="774AD2BF" w14:textId="4FE1563C" w:rsidR="007D032E" w:rsidRPr="00A114C1" w:rsidRDefault="007D032E" w:rsidP="007D032E">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hyperlink r:id="rId15" w:history="1">
        <w:r w:rsidRPr="00A114C1">
          <w:rPr>
            <w:rStyle w:val="Collegamentoipertestuale"/>
            <w:sz w:val="22"/>
            <w:szCs w:val="22"/>
            <w:lang w:val="en-US"/>
          </w:rPr>
          <w:t>Combating actions of green 2D-materials on gram positive and negative bacteria and enveloped viruses</w:t>
        </w:r>
      </w:hyperlink>
      <w:r w:rsidRPr="00A114C1">
        <w:rPr>
          <w:sz w:val="22"/>
          <w:szCs w:val="22"/>
          <w:lang w:val="en-US"/>
        </w:rPr>
        <w:t>, M Singh, C Zannella, V Folliero, R Di Girolamo, F Bajardi, A Chianese, ..., Frontiers in Bioengineering and Biotechnology 8, 569967</w:t>
      </w:r>
      <w:r w:rsidR="00F029AC">
        <w:rPr>
          <w:sz w:val="22"/>
          <w:szCs w:val="22"/>
          <w:lang w:val="en-US"/>
        </w:rPr>
        <w:t xml:space="preserve"> (2021)</w:t>
      </w:r>
    </w:p>
    <w:p w14:paraId="0C83E04D" w14:textId="77777777" w:rsidR="007D032E" w:rsidRPr="00A114C1" w:rsidRDefault="007D032E" w:rsidP="007D032E">
      <w:pPr>
        <w:pStyle w:val="Paragrafoelenco"/>
        <w:autoSpaceDE w:val="0"/>
        <w:autoSpaceDN w:val="0"/>
        <w:adjustRightInd w:val="0"/>
        <w:ind w:left="1080"/>
        <w:jc w:val="both"/>
        <w:rPr>
          <w:rFonts w:cs="Calibri,Bold"/>
          <w:b/>
          <w:bCs/>
          <w:color w:val="000000"/>
        </w:rPr>
      </w:pPr>
    </w:p>
    <w:p w14:paraId="596F2A79" w14:textId="77777777" w:rsidR="007D032E" w:rsidRPr="00EB28E5" w:rsidRDefault="007D032E" w:rsidP="007D49D0">
      <w:pPr>
        <w:autoSpaceDE w:val="0"/>
        <w:autoSpaceDN w:val="0"/>
        <w:adjustRightInd w:val="0"/>
        <w:jc w:val="both"/>
        <w:rPr>
          <w:rFonts w:cs="Calibri"/>
          <w:color w:val="000000"/>
          <w:sz w:val="18"/>
          <w:szCs w:val="18"/>
          <w:highlight w:val="yellow"/>
        </w:rPr>
      </w:pPr>
    </w:p>
    <w:p w14:paraId="4E2EE425" w14:textId="77777777" w:rsidR="007D49D0" w:rsidRPr="00EB28E5" w:rsidRDefault="007D49D0" w:rsidP="007D49D0">
      <w:pPr>
        <w:autoSpaceDE w:val="0"/>
        <w:autoSpaceDN w:val="0"/>
        <w:adjustRightInd w:val="0"/>
        <w:jc w:val="both"/>
        <w:rPr>
          <w:rFonts w:cs="Calibri"/>
          <w:color w:val="000000"/>
          <w:sz w:val="18"/>
          <w:szCs w:val="18"/>
          <w:highlight w:val="yellow"/>
        </w:rPr>
      </w:pPr>
    </w:p>
    <w:p w14:paraId="2B4B34A5" w14:textId="77F32CD7" w:rsidR="007D49D0" w:rsidRPr="00EB28E5" w:rsidRDefault="007D49D0" w:rsidP="007D49D0">
      <w:pPr>
        <w:autoSpaceDE w:val="0"/>
        <w:autoSpaceDN w:val="0"/>
        <w:adjustRightInd w:val="0"/>
        <w:jc w:val="both"/>
        <w:rPr>
          <w:rFonts w:cs="Calibri,Bold"/>
          <w:b/>
          <w:bCs/>
          <w:color w:val="000000"/>
          <w:highlight w:val="yellow"/>
        </w:rPr>
      </w:pPr>
    </w:p>
    <w:p w14:paraId="116BFF1F" w14:textId="7CFABB40" w:rsidR="007D49D0" w:rsidRPr="001A050F" w:rsidRDefault="007D49D0" w:rsidP="007D49D0">
      <w:pPr>
        <w:autoSpaceDE w:val="0"/>
        <w:autoSpaceDN w:val="0"/>
        <w:adjustRightInd w:val="0"/>
        <w:jc w:val="both"/>
        <w:rPr>
          <w:sz w:val="23"/>
          <w:szCs w:val="23"/>
        </w:rPr>
      </w:pPr>
      <w:r w:rsidRPr="001A050F">
        <w:rPr>
          <w:b/>
          <w:bCs/>
          <w:sz w:val="23"/>
          <w:szCs w:val="23"/>
        </w:rPr>
        <w:t xml:space="preserve">9 - Technical and economic sustainability of the project </w:t>
      </w:r>
      <w:r w:rsidRPr="001A050F">
        <w:rPr>
          <w:sz w:val="23"/>
          <w:szCs w:val="23"/>
        </w:rPr>
        <w:t>(Max. 1000 characters)</w:t>
      </w:r>
    </w:p>
    <w:p w14:paraId="7727094C" w14:textId="52199E3C" w:rsidR="007D49D0" w:rsidRPr="001A050F" w:rsidRDefault="007D49D0" w:rsidP="007D49D0">
      <w:pPr>
        <w:tabs>
          <w:tab w:val="left" w:pos="7088"/>
        </w:tabs>
        <w:autoSpaceDE w:val="0"/>
        <w:autoSpaceDN w:val="0"/>
        <w:adjustRightInd w:val="0"/>
        <w:jc w:val="both"/>
        <w:rPr>
          <w:rFonts w:eastAsia="MS Mincho" w:cstheme="minorHAnsi"/>
          <w:lang w:val="en-GB"/>
        </w:rPr>
      </w:pPr>
      <w:r w:rsidRPr="001A050F">
        <w:rPr>
          <w:rFonts w:eastAsia="MS Mincho" w:cstheme="minorHAnsi"/>
          <w:lang w:val="en-GB"/>
        </w:rPr>
        <w:t xml:space="preserve">A. Vergara is expert in Raman and IR microscopies that are useful to study </w:t>
      </w:r>
      <w:r w:rsidR="001A050F" w:rsidRPr="001A050F">
        <w:rPr>
          <w:rFonts w:eastAsia="MS Mincho" w:cstheme="minorHAnsi"/>
          <w:lang w:val="en-GB"/>
        </w:rPr>
        <w:t>chemical degradation of entity of Cultural Heritage</w:t>
      </w:r>
      <w:r w:rsidRPr="001A050F">
        <w:rPr>
          <w:rFonts w:eastAsia="MS Mincho" w:cstheme="minorHAnsi"/>
          <w:lang w:val="en-GB"/>
        </w:rPr>
        <w:t xml:space="preserve">. The project is in collaboration with other researchers of </w:t>
      </w:r>
      <w:r w:rsidR="001A050F" w:rsidRPr="001A050F">
        <w:rPr>
          <w:rFonts w:eastAsia="MS Mincho" w:cstheme="minorHAnsi"/>
          <w:lang w:val="en-GB"/>
        </w:rPr>
        <w:t>Dept. Chemical Sciences and Biology</w:t>
      </w:r>
      <w:r w:rsidRPr="001A050F">
        <w:rPr>
          <w:rFonts w:eastAsia="MS Mincho" w:cstheme="minorHAnsi"/>
          <w:lang w:val="en-GB"/>
        </w:rPr>
        <w:t xml:space="preserve"> the University of Naples Federico II. They will combine their expertise to ensure that the candidate will achieves the objectives of this project. In particular, </w:t>
      </w:r>
      <w:r w:rsidR="001A050F" w:rsidRPr="001A050F">
        <w:rPr>
          <w:rFonts w:eastAsia="MS Mincho" w:cstheme="minorHAnsi"/>
          <w:lang w:val="en-GB"/>
        </w:rPr>
        <w:t xml:space="preserve">L. Birolo is an expert in Proteomics and Prof. Pollio is expert on </w:t>
      </w:r>
      <w:r w:rsidR="006339A3">
        <w:rPr>
          <w:rFonts w:eastAsia="MS Mincho" w:cstheme="minorHAnsi"/>
          <w:lang w:val="en-GB"/>
        </w:rPr>
        <w:t>metagenomics</w:t>
      </w:r>
      <w:r w:rsidRPr="001A050F">
        <w:rPr>
          <w:rFonts w:eastAsia="MS Mincho" w:cstheme="minorHAnsi"/>
          <w:lang w:val="en-GB"/>
        </w:rPr>
        <w:t xml:space="preserve">. </w:t>
      </w:r>
      <w:r w:rsidR="001A050F" w:rsidRPr="001A050F">
        <w:rPr>
          <w:rFonts w:eastAsia="MS Mincho" w:cstheme="minorHAnsi"/>
          <w:lang w:val="en-GB"/>
        </w:rPr>
        <w:t xml:space="preserve">The foreign </w:t>
      </w:r>
      <w:r w:rsidR="00F43DEE" w:rsidRPr="001A050F">
        <w:rPr>
          <w:rFonts w:eastAsia="MS Mincho" w:cstheme="minorHAnsi"/>
          <w:lang w:val="en-GB"/>
        </w:rPr>
        <w:t>colleagues</w:t>
      </w:r>
      <w:r w:rsidR="001A050F" w:rsidRPr="001A050F">
        <w:rPr>
          <w:rFonts w:eastAsia="MS Mincho" w:cstheme="minorHAnsi"/>
          <w:lang w:val="en-GB"/>
        </w:rPr>
        <w:t xml:space="preserve"> will integrate their skills for the period abroad</w:t>
      </w:r>
      <w:r w:rsidRPr="001A050F">
        <w:rPr>
          <w:rFonts w:eastAsia="MS Mincho" w:cstheme="minorHAnsi"/>
          <w:lang w:val="en-GB"/>
        </w:rPr>
        <w:t xml:space="preserve">. Moreover, </w:t>
      </w:r>
      <w:r w:rsidR="001A050F" w:rsidRPr="001A050F">
        <w:rPr>
          <w:rFonts w:eastAsia="MS Mincho" w:cstheme="minorHAnsi"/>
          <w:lang w:val="en-GB"/>
        </w:rPr>
        <w:t>funds are available (PNRR and ERC on the subject)</w:t>
      </w:r>
      <w:r w:rsidRPr="001A050F">
        <w:rPr>
          <w:rFonts w:eastAsia="MS Mincho" w:cstheme="minorHAnsi"/>
          <w:lang w:val="en-GB"/>
        </w:rPr>
        <w:t xml:space="preserve">. </w:t>
      </w:r>
    </w:p>
    <w:p w14:paraId="5FB0B978" w14:textId="77777777" w:rsidR="007D49D0" w:rsidRPr="001A050F" w:rsidRDefault="007D49D0" w:rsidP="007D49D0">
      <w:pPr>
        <w:tabs>
          <w:tab w:val="left" w:pos="7088"/>
        </w:tabs>
        <w:autoSpaceDE w:val="0"/>
        <w:autoSpaceDN w:val="0"/>
        <w:adjustRightInd w:val="0"/>
        <w:jc w:val="both"/>
        <w:rPr>
          <w:rFonts w:eastAsia="MS Mincho" w:cstheme="minorHAnsi"/>
          <w:lang w:val="en-GB"/>
        </w:rPr>
      </w:pPr>
    </w:p>
    <w:p w14:paraId="2F9C9BED" w14:textId="12058F41" w:rsidR="007D49D0" w:rsidRPr="001A050F" w:rsidRDefault="007D49D0" w:rsidP="007D49D0">
      <w:pPr>
        <w:autoSpaceDE w:val="0"/>
        <w:autoSpaceDN w:val="0"/>
        <w:adjustRightInd w:val="0"/>
        <w:jc w:val="both"/>
        <w:rPr>
          <w:rFonts w:cs="Calibri,Bold"/>
          <w:b/>
          <w:bCs/>
          <w:color w:val="000000"/>
          <w:lang w:val="en-GB"/>
        </w:rPr>
      </w:pPr>
      <w:r w:rsidRPr="001A050F">
        <w:rPr>
          <w:rFonts w:cs="Calibri,Bold"/>
          <w:b/>
          <w:bCs/>
          <w:color w:val="000000"/>
          <w:lang w:val="en-GB"/>
        </w:rPr>
        <w:t>10 - Other possible participants</w:t>
      </w:r>
    </w:p>
    <w:p w14:paraId="26169B8E" w14:textId="3FCEA769" w:rsidR="007D49D0" w:rsidRPr="001A050F" w:rsidRDefault="006B7C41" w:rsidP="007D49D0">
      <w:pPr>
        <w:autoSpaceDE w:val="0"/>
        <w:autoSpaceDN w:val="0"/>
        <w:adjustRightInd w:val="0"/>
        <w:jc w:val="both"/>
        <w:rPr>
          <w:rFonts w:cs="Calibri,Bold"/>
          <w:b/>
          <w:bCs/>
          <w:color w:val="000000"/>
        </w:rPr>
      </w:pPr>
      <w:r w:rsidRPr="001A050F">
        <w:rPr>
          <w:rFonts w:cs="Calibri,Bold"/>
          <w:b/>
          <w:bCs/>
          <w:color w:val="000000"/>
          <w:lang w:val="en-GB"/>
        </w:rPr>
        <w:t>-A</w:t>
      </w:r>
      <w:r w:rsidR="00B164C4">
        <w:rPr>
          <w:rFonts w:cs="Calibri,Bold"/>
          <w:b/>
          <w:bCs/>
          <w:color w:val="000000"/>
          <w:lang w:val="en-GB"/>
        </w:rPr>
        <w:t>ntonino</w:t>
      </w:r>
      <w:r w:rsidRPr="001A050F">
        <w:rPr>
          <w:rFonts w:cs="Calibri,Bold"/>
          <w:b/>
          <w:bCs/>
          <w:color w:val="000000"/>
          <w:lang w:val="en-GB"/>
        </w:rPr>
        <w:t xml:space="preserve"> Pollio</w:t>
      </w:r>
      <w:r w:rsidR="007D49D0" w:rsidRPr="001A050F">
        <w:rPr>
          <w:rFonts w:cs="Calibri,Bold"/>
          <w:b/>
          <w:bCs/>
          <w:color w:val="000000"/>
          <w:lang w:val="en-GB"/>
        </w:rPr>
        <w:t xml:space="preserve"> (</w:t>
      </w:r>
      <w:r w:rsidRPr="001A050F">
        <w:rPr>
          <w:rFonts w:cs="Calibri,Bold"/>
          <w:b/>
          <w:bCs/>
          <w:color w:val="000000"/>
          <w:lang w:val="en-GB"/>
        </w:rPr>
        <w:t>Dept. Biology</w:t>
      </w:r>
      <w:r w:rsidR="007D49D0" w:rsidRPr="001A050F">
        <w:rPr>
          <w:rFonts w:cs="Calibri,Bold"/>
          <w:b/>
          <w:bCs/>
          <w:color w:val="000000"/>
        </w:rPr>
        <w:t>.-UNINA)</w:t>
      </w:r>
    </w:p>
    <w:p w14:paraId="1CF68C22" w14:textId="3370D2DD" w:rsidR="006B7C41" w:rsidRPr="006B7C41" w:rsidRDefault="006B7C41" w:rsidP="006B7C41">
      <w:pPr>
        <w:autoSpaceDE w:val="0"/>
        <w:autoSpaceDN w:val="0"/>
        <w:adjustRightInd w:val="0"/>
        <w:jc w:val="both"/>
        <w:rPr>
          <w:rFonts w:cs="Calibri,Bold"/>
          <w:b/>
          <w:bCs/>
          <w:color w:val="000000"/>
        </w:rPr>
      </w:pPr>
      <w:r w:rsidRPr="001A050F">
        <w:rPr>
          <w:rFonts w:cs="Calibri,Bold"/>
          <w:b/>
          <w:bCs/>
          <w:color w:val="000000"/>
        </w:rPr>
        <w:t>-</w:t>
      </w:r>
      <w:r w:rsidRPr="006B7C41">
        <w:rPr>
          <w:rFonts w:cs="Calibri,Bold"/>
          <w:b/>
          <w:bCs/>
          <w:color w:val="000000"/>
        </w:rPr>
        <w:t>Enrico Cappellini</w:t>
      </w:r>
      <w:r w:rsidRPr="001A050F">
        <w:rPr>
          <w:rFonts w:cs="Calibri,Bold"/>
          <w:b/>
          <w:bCs/>
          <w:color w:val="000000"/>
        </w:rPr>
        <w:t xml:space="preserve">, </w:t>
      </w:r>
      <w:r w:rsidRPr="006B7C41">
        <w:rPr>
          <w:rFonts w:cs="Calibri,Bold"/>
          <w:b/>
          <w:bCs/>
          <w:color w:val="000000"/>
        </w:rPr>
        <w:t>PhD, Associate Professor in Paleoproteomics, Globe Institute, Section for Geogenetics,    University of Copenaghen, Denmark.</w:t>
      </w:r>
    </w:p>
    <w:p w14:paraId="4CA6B6D3" w14:textId="25C70A41" w:rsidR="006B7C41" w:rsidRPr="006B7C41" w:rsidRDefault="006B7C41" w:rsidP="006B7C41">
      <w:pPr>
        <w:autoSpaceDE w:val="0"/>
        <w:autoSpaceDN w:val="0"/>
        <w:adjustRightInd w:val="0"/>
        <w:jc w:val="both"/>
        <w:rPr>
          <w:rFonts w:cs="Calibri,Bold"/>
          <w:b/>
          <w:bCs/>
          <w:color w:val="000000"/>
        </w:rPr>
      </w:pPr>
      <w:r w:rsidRPr="001A050F">
        <w:rPr>
          <w:rFonts w:cs="Calibri,Bold"/>
          <w:b/>
          <w:bCs/>
          <w:color w:val="000000"/>
        </w:rPr>
        <w:t>-</w:t>
      </w:r>
      <w:r w:rsidRPr="006B7C41">
        <w:rPr>
          <w:rFonts w:cs="Calibri,Bold"/>
          <w:b/>
          <w:bCs/>
          <w:color w:val="000000"/>
        </w:rPr>
        <w:t>Caroline Tokarski, Professor of Analytical Chemistry, at the University of Bordeaux, France</w:t>
      </w:r>
    </w:p>
    <w:p w14:paraId="18616D40" w14:textId="77777777" w:rsidR="007D49D0" w:rsidRPr="001A050F" w:rsidRDefault="007D49D0" w:rsidP="007D49D0">
      <w:pPr>
        <w:autoSpaceDE w:val="0"/>
        <w:autoSpaceDN w:val="0"/>
        <w:adjustRightInd w:val="0"/>
        <w:jc w:val="both"/>
        <w:rPr>
          <w:rFonts w:cs="Calibri,Bold"/>
          <w:b/>
          <w:bCs/>
          <w:color w:val="000000"/>
        </w:rPr>
      </w:pPr>
    </w:p>
    <w:p w14:paraId="25CDACE6" w14:textId="0FC47B7B" w:rsidR="007D49D0" w:rsidRPr="00607B56" w:rsidRDefault="007D49D0" w:rsidP="007D49D0">
      <w:pPr>
        <w:autoSpaceDE w:val="0"/>
        <w:autoSpaceDN w:val="0"/>
        <w:adjustRightInd w:val="0"/>
        <w:jc w:val="both"/>
        <w:rPr>
          <w:rFonts w:cs="Calibri,Bold"/>
          <w:bCs/>
          <w:color w:val="000000"/>
        </w:rPr>
      </w:pPr>
      <w:r w:rsidRPr="00607B56">
        <w:rPr>
          <w:b/>
          <w:bCs/>
          <w:sz w:val="23"/>
          <w:szCs w:val="23"/>
        </w:rPr>
        <w:t xml:space="preserve">11 - Scientific publications, relevant to the project, of </w:t>
      </w:r>
      <w:r w:rsidR="00885056">
        <w:rPr>
          <w:b/>
          <w:bCs/>
          <w:sz w:val="23"/>
          <w:szCs w:val="23"/>
        </w:rPr>
        <w:t xml:space="preserve">participants, other than </w:t>
      </w:r>
      <w:r w:rsidRPr="00607B56">
        <w:rPr>
          <w:b/>
          <w:bCs/>
          <w:sz w:val="23"/>
          <w:szCs w:val="23"/>
        </w:rPr>
        <w:t>PI</w:t>
      </w:r>
    </w:p>
    <w:p w14:paraId="5E6EC7FF" w14:textId="77777777" w:rsidR="007D49D0" w:rsidRPr="00EB28E5" w:rsidRDefault="007D49D0" w:rsidP="007D49D0">
      <w:pPr>
        <w:autoSpaceDE w:val="0"/>
        <w:autoSpaceDN w:val="0"/>
        <w:adjustRightInd w:val="0"/>
        <w:jc w:val="both"/>
        <w:rPr>
          <w:rFonts w:cs="Calibri,Bold"/>
          <w:b/>
          <w:bCs/>
          <w:color w:val="000000"/>
          <w:highlight w:val="yellow"/>
        </w:rPr>
      </w:pPr>
    </w:p>
    <w:p w14:paraId="3105A84E" w14:textId="3FDD5C9C"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b/>
          <w:bCs/>
          <w:sz w:val="22"/>
          <w:szCs w:val="22"/>
          <w:lang w:val="en-US"/>
        </w:rPr>
        <w:t>-</w:t>
      </w:r>
      <w:r w:rsidRPr="00E63FC5">
        <w:rPr>
          <w:sz w:val="22"/>
          <w:szCs w:val="22"/>
          <w:lang w:val="en-US"/>
        </w:rPr>
        <w:t xml:space="preserve">Liguori, R, Pennacchio, A, Vandenberghe, LPD, De Chiaro, A, </w:t>
      </w:r>
      <w:r w:rsidRPr="00E63FC5">
        <w:rPr>
          <w:b/>
          <w:bCs/>
          <w:sz w:val="22"/>
          <w:szCs w:val="22"/>
          <w:lang w:val="en-US"/>
        </w:rPr>
        <w:t xml:space="preserve">Birolo, L., </w:t>
      </w:r>
      <w:r w:rsidRPr="00E63FC5">
        <w:rPr>
          <w:sz w:val="22"/>
          <w:szCs w:val="22"/>
          <w:lang w:val="en-US"/>
        </w:rPr>
        <w:t xml:space="preserve">Soccol, CR, Faraco, V. Screening of Fungal Strains for Cellulolytic and Xylanolytic Activities Production and Evaluation of Brewers' Spent Grain as Substrate for Enzyme Production by Selected Fungi. 2021 Energies, 14, 4443. Doi: 10.3390/en14154443 </w:t>
      </w:r>
    </w:p>
    <w:p w14:paraId="41169566" w14:textId="0C628F7E"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b/>
          <w:bCs/>
          <w:sz w:val="22"/>
          <w:szCs w:val="22"/>
          <w:lang w:val="en-US"/>
        </w:rPr>
        <w:t xml:space="preserve">- </w:t>
      </w:r>
      <w:r w:rsidRPr="00E63FC5">
        <w:rPr>
          <w:sz w:val="22"/>
          <w:szCs w:val="22"/>
          <w:lang w:val="en-US"/>
        </w:rPr>
        <w:t xml:space="preserve">Corrado, I, Cascelli, N, Ntasi, G, </w:t>
      </w:r>
      <w:r w:rsidRPr="00E63FC5">
        <w:rPr>
          <w:b/>
          <w:bCs/>
          <w:sz w:val="22"/>
          <w:szCs w:val="22"/>
          <w:lang w:val="en-US"/>
        </w:rPr>
        <w:t xml:space="preserve">Birolo, L., </w:t>
      </w:r>
      <w:r w:rsidRPr="00E63FC5">
        <w:rPr>
          <w:sz w:val="22"/>
          <w:szCs w:val="22"/>
          <w:lang w:val="en-US"/>
        </w:rPr>
        <w:t xml:space="preserve">Sannia, G, Pezzella, C. Optimization of Inulin Hydrolysis by Penicillium lanosocoeruleum Inulinases and Efficient Conversion into Polyhydroxyalkanoates. 2021 Frontiers in Bioengineering and Biotechnology, 9, 616908, DOI: 10.3389/fbioe.2021.616908. </w:t>
      </w:r>
    </w:p>
    <w:p w14:paraId="1A6E3476" w14:textId="52835DDB"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rPr>
      </w:pPr>
      <w:r w:rsidRPr="00E63FC5">
        <w:rPr>
          <w:b/>
          <w:bCs/>
          <w:sz w:val="22"/>
          <w:szCs w:val="22"/>
          <w:lang w:val="en-US"/>
        </w:rPr>
        <w:t xml:space="preserve">- </w:t>
      </w:r>
      <w:r w:rsidRPr="00E63FC5">
        <w:rPr>
          <w:sz w:val="22"/>
          <w:szCs w:val="22"/>
          <w:lang w:val="en-US"/>
        </w:rPr>
        <w:t xml:space="preserve">Ntasi, G, Kirby, DP, Stanzione, I, Carpentieri, A, Somma, P, Cicatiello, P, Marino, G, Giardina, P, </w:t>
      </w:r>
      <w:r w:rsidRPr="00E63FC5">
        <w:rPr>
          <w:b/>
          <w:bCs/>
          <w:sz w:val="22"/>
          <w:szCs w:val="22"/>
          <w:lang w:val="en-US"/>
        </w:rPr>
        <w:t xml:space="preserve">Birolo, L. </w:t>
      </w:r>
      <w:r w:rsidRPr="00E63FC5">
        <w:rPr>
          <w:sz w:val="22"/>
          <w:szCs w:val="22"/>
          <w:lang w:val="en-US"/>
        </w:rPr>
        <w:t xml:space="preserve">A versatile and user-friendly approach for the analysis of proteins in ancient and historical objects. </w:t>
      </w:r>
      <w:r w:rsidRPr="00E63FC5">
        <w:rPr>
          <w:sz w:val="22"/>
          <w:szCs w:val="22"/>
        </w:rPr>
        <w:t xml:space="preserve">2021 J Proteomics 231, 104039. Doi: 10.1016/j.jprot.2020.104039. Corresponding author </w:t>
      </w:r>
    </w:p>
    <w:p w14:paraId="10DF5482" w14:textId="68559092"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rPr>
      </w:pPr>
      <w:r w:rsidRPr="00E63FC5">
        <w:rPr>
          <w:b/>
          <w:bCs/>
          <w:sz w:val="22"/>
          <w:szCs w:val="22"/>
        </w:rPr>
        <w:t xml:space="preserve">- </w:t>
      </w:r>
      <w:r w:rsidRPr="00E63FC5">
        <w:rPr>
          <w:sz w:val="22"/>
          <w:szCs w:val="22"/>
        </w:rPr>
        <w:t xml:space="preserve">Raineri, D.; Dianzani, C.; Cappellano, G.; Maione, F.; Baldanzi, G.; Iacobucci, I.; Clemente, N.; Baldone, G.; Boggio, E.; Gigliotti, C. L.; Boldorini, R.; Rojo, J. M.; Monti, M.; </w:t>
      </w:r>
      <w:r w:rsidRPr="00E63FC5">
        <w:rPr>
          <w:b/>
          <w:bCs/>
          <w:sz w:val="22"/>
          <w:szCs w:val="22"/>
        </w:rPr>
        <w:t xml:space="preserve">Birolo, L.; </w:t>
      </w:r>
      <w:r w:rsidRPr="00E63FC5">
        <w:rPr>
          <w:sz w:val="22"/>
          <w:szCs w:val="22"/>
        </w:rPr>
        <w:t xml:space="preserve">Dianzani, U.; Chiocchetti, A. Osteopontin binds ICOSL promoting tumor metastasis. 2020 Commun Biol 3, 615 http://dx.doi.org/10.1038/s42003-020-01333-1 </w:t>
      </w:r>
    </w:p>
    <w:p w14:paraId="62B9B732" w14:textId="2991F59D"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rPr>
      </w:pPr>
      <w:r w:rsidRPr="00E63FC5">
        <w:rPr>
          <w:b/>
          <w:bCs/>
          <w:sz w:val="22"/>
          <w:szCs w:val="22"/>
        </w:rPr>
        <w:t xml:space="preserve">- </w:t>
      </w:r>
      <w:r w:rsidRPr="00E63FC5">
        <w:rPr>
          <w:sz w:val="22"/>
          <w:szCs w:val="22"/>
        </w:rPr>
        <w:t xml:space="preserve">Pitocchi, R., Cicatiello, P., </w:t>
      </w:r>
      <w:r w:rsidRPr="00E63FC5">
        <w:rPr>
          <w:b/>
          <w:bCs/>
          <w:sz w:val="22"/>
          <w:szCs w:val="22"/>
        </w:rPr>
        <w:t xml:space="preserve">Birolo, L., </w:t>
      </w:r>
      <w:r w:rsidRPr="00E63FC5">
        <w:rPr>
          <w:sz w:val="22"/>
          <w:szCs w:val="22"/>
        </w:rPr>
        <w:t xml:space="preserve">Piscitelli, A., Bovio, E., Varese, G.C., Giardina, P. Cerato-Platanins from Marine Fungi as Effective Protein Biosurfactants and Bioemulsifiers. 2020 Int. J. of Mol. Sci., 21, 2913 </w:t>
      </w:r>
    </w:p>
    <w:p w14:paraId="09B5ED4E" w14:textId="0A1A8E59"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rPr>
      </w:pPr>
      <w:r w:rsidRPr="00E63FC5">
        <w:rPr>
          <w:sz w:val="22"/>
          <w:szCs w:val="22"/>
        </w:rPr>
        <w:t xml:space="preserve">- Melchiorre, C., Dello Ioio, L., Ntasi, G., </w:t>
      </w:r>
      <w:r w:rsidRPr="00E63FC5">
        <w:rPr>
          <w:b/>
          <w:bCs/>
          <w:sz w:val="22"/>
          <w:szCs w:val="22"/>
        </w:rPr>
        <w:t>Birolo, L</w:t>
      </w:r>
      <w:r w:rsidRPr="00E63FC5">
        <w:rPr>
          <w:sz w:val="22"/>
          <w:szCs w:val="22"/>
        </w:rPr>
        <w:t xml:space="preserve">., Trojsi, G., Cennamo, P., Barone Lumaga, M.R., Fatigati, G., Amoresano, A., Carpentieri, A. A multidisciplinary assessment to investigate a XXII dynasty wooden coffin. 2020 Int. J. Conserv. Sci., 11, 25-38. </w:t>
      </w:r>
    </w:p>
    <w:p w14:paraId="235D91A5" w14:textId="4F35FC62"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rPr>
      </w:pPr>
      <w:r w:rsidRPr="00E63FC5">
        <w:rPr>
          <w:sz w:val="22"/>
          <w:szCs w:val="22"/>
        </w:rPr>
        <w:lastRenderedPageBreak/>
        <w:t xml:space="preserve">- Cicatiello P., Stanzione I., Dardano P., De Stefano L., </w:t>
      </w:r>
      <w:r w:rsidRPr="00E63FC5">
        <w:rPr>
          <w:b/>
          <w:bCs/>
          <w:sz w:val="22"/>
          <w:szCs w:val="22"/>
        </w:rPr>
        <w:t>Birolo L</w:t>
      </w:r>
      <w:r w:rsidRPr="00E63FC5">
        <w:rPr>
          <w:sz w:val="22"/>
          <w:szCs w:val="22"/>
        </w:rPr>
        <w:t xml:space="preserve">., De Chiaro A., Monti D. M., Petruk G., D'Errico G., Giardina P. Characterization of a surface-active protein extracted by a marine strain of </w:t>
      </w:r>
      <w:r w:rsidRPr="00E63FC5">
        <w:rPr>
          <w:i/>
          <w:iCs/>
          <w:sz w:val="22"/>
          <w:szCs w:val="22"/>
        </w:rPr>
        <w:t>Penicillium chrysogenum</w:t>
      </w:r>
      <w:r w:rsidRPr="00E63FC5">
        <w:rPr>
          <w:sz w:val="22"/>
          <w:szCs w:val="22"/>
        </w:rPr>
        <w:t xml:space="preserve">. 2019 Int. J. of Mol. Sci., 20, 3242, https://doi.org/10.3390/ijms20133242 </w:t>
      </w:r>
    </w:p>
    <w:p w14:paraId="57A92548" w14:textId="1DBD80E0"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rPr>
      </w:pPr>
      <w:r w:rsidRPr="00E63FC5">
        <w:rPr>
          <w:sz w:val="22"/>
          <w:szCs w:val="22"/>
        </w:rPr>
        <w:t xml:space="preserve">- P. Petrone, P. Pucci, A. Vergara, A. Amoresano, </w:t>
      </w:r>
      <w:r w:rsidRPr="00E63FC5">
        <w:rPr>
          <w:b/>
          <w:bCs/>
          <w:sz w:val="22"/>
          <w:szCs w:val="22"/>
        </w:rPr>
        <w:t>L. Birolo</w:t>
      </w:r>
      <w:r w:rsidRPr="00E63FC5">
        <w:rPr>
          <w:sz w:val="22"/>
          <w:szCs w:val="22"/>
        </w:rPr>
        <w:t xml:space="preserve">, F. Pane, F. Sirano, M. Niola, C. Buccelli, V. Graziano. </w:t>
      </w:r>
      <w:r w:rsidRPr="00E63FC5">
        <w:rPr>
          <w:sz w:val="22"/>
          <w:szCs w:val="22"/>
          <w:lang w:val="en-US"/>
        </w:rPr>
        <w:t xml:space="preserve">A hypothesis of sudden body fluid vaporization in the 79 AD victims of Vesuvius. </w:t>
      </w:r>
      <w:r w:rsidRPr="00E63FC5">
        <w:rPr>
          <w:sz w:val="22"/>
          <w:szCs w:val="22"/>
        </w:rPr>
        <w:t xml:space="preserve">2018 PLoS ONE 13(9): e0203210. https://doi.org/10.1371/journal.pone.0203210. IF 2.766 </w:t>
      </w:r>
    </w:p>
    <w:p w14:paraId="0F0819CB" w14:textId="1E688250"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sz w:val="22"/>
          <w:szCs w:val="22"/>
        </w:rPr>
        <w:t xml:space="preserve">- R. Vinciguerra, A. Illiano, A. De Chiaro, A. Carpentieri, A. Lluveras-Tenorio, I. Bonaduce, G. Marino, P. Pucci, A. Amoresano, </w:t>
      </w:r>
      <w:r w:rsidRPr="00E63FC5">
        <w:rPr>
          <w:b/>
          <w:bCs/>
          <w:sz w:val="22"/>
          <w:szCs w:val="22"/>
        </w:rPr>
        <w:t>L. Birolo</w:t>
      </w:r>
      <w:r w:rsidRPr="00E63FC5">
        <w:rPr>
          <w:sz w:val="22"/>
          <w:szCs w:val="22"/>
        </w:rPr>
        <w:t xml:space="preserve">. </w:t>
      </w:r>
      <w:r w:rsidRPr="00E63FC5">
        <w:rPr>
          <w:sz w:val="22"/>
          <w:szCs w:val="22"/>
          <w:lang w:val="en-US"/>
        </w:rPr>
        <w:t xml:space="preserve">Identification of proteinaceous binders in paintings: A targeted proteomic approach for cultural heritage. Microchemical Journal, 2018, 144, 319-328. https://doi.org/10.1016/j.microc.2018.09.021 IF 2.746. Corresponding author </w:t>
      </w:r>
    </w:p>
    <w:p w14:paraId="44D24408" w14:textId="25132CDB"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sz w:val="22"/>
          <w:szCs w:val="22"/>
          <w:lang w:val="en-US"/>
        </w:rPr>
        <w:t xml:space="preserve">- Linn R, Bonaduce I, Ntasi G, </w:t>
      </w:r>
      <w:r w:rsidRPr="00E63FC5">
        <w:rPr>
          <w:b/>
          <w:bCs/>
          <w:sz w:val="22"/>
          <w:szCs w:val="22"/>
          <w:lang w:val="en-US"/>
        </w:rPr>
        <w:t>Birolo L</w:t>
      </w:r>
      <w:r w:rsidRPr="00E63FC5">
        <w:rPr>
          <w:sz w:val="22"/>
          <w:szCs w:val="22"/>
          <w:lang w:val="en-US"/>
        </w:rPr>
        <w:t xml:space="preserve">, Yasur-Landau A, Cline EH, Nevin A, Lluveras-Tenorio A. Evolved Gas Analysis-Mass Spectrometry to Identify the Earliest Organic Binder in Aegean Style Wall Paintings. Evolved Gas Analysis-Mass Spectrometry to Identify the Earliest Organic Binder in Aegean Style Wall Paintings.2018 Angew Chem Int Ed Engl. 2018 Aug 10. doi: 10.1002/anie.201806520. IF 12.102 </w:t>
      </w:r>
    </w:p>
    <w:p w14:paraId="5188C517" w14:textId="573D6124"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sz w:val="22"/>
          <w:szCs w:val="22"/>
          <w:lang w:val="en-US"/>
        </w:rPr>
        <w:t xml:space="preserve">- Cicatiello P, Ntasi G, Rossi M, Marino G, Giardina P, </w:t>
      </w:r>
      <w:r w:rsidRPr="00E63FC5">
        <w:rPr>
          <w:b/>
          <w:bCs/>
          <w:sz w:val="22"/>
          <w:szCs w:val="22"/>
          <w:lang w:val="en-US"/>
        </w:rPr>
        <w:t xml:space="preserve">Birolo L. </w:t>
      </w:r>
      <w:r w:rsidRPr="00E63FC5">
        <w:rPr>
          <w:sz w:val="22"/>
          <w:szCs w:val="22"/>
          <w:lang w:val="en-US"/>
        </w:rPr>
        <w:t xml:space="preserve">Minimally Invasive and Portable Method for the Identification of Proteins in Ancient Paintings. 2018 Anal Chem. 90(17):10128-10133. doi: 10.1021/acs.analchem.8b01718. IF 6.042 Corresponding author </w:t>
      </w:r>
    </w:p>
    <w:p w14:paraId="06FDE990" w14:textId="59398559" w:rsidR="00E63FC5" w:rsidRPr="00E63FC5"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sz w:val="22"/>
          <w:szCs w:val="22"/>
          <w:lang w:val="en-US"/>
        </w:rPr>
        <w:t xml:space="preserve">- Capitini C, Patel JR, Natalello A, D'Andrea C, Relini A, Jarvis JA, </w:t>
      </w:r>
      <w:r w:rsidRPr="00E63FC5">
        <w:rPr>
          <w:b/>
          <w:bCs/>
          <w:sz w:val="22"/>
          <w:szCs w:val="22"/>
          <w:lang w:val="en-US"/>
        </w:rPr>
        <w:t>Birolo L</w:t>
      </w:r>
      <w:r w:rsidRPr="00E63FC5">
        <w:rPr>
          <w:sz w:val="22"/>
          <w:szCs w:val="22"/>
          <w:lang w:val="en-US"/>
        </w:rPr>
        <w:t xml:space="preserve">, Peduzzo A, Vendruscolo M, Matteini P, Dobson CM, De Simone A, Chiti F. Structural differences between toxic and nontoxic HypF-N oligomers. 2018, Chem Commun 54(62):8637-8640. doi: 10.1039/c8cc03446j. IF 6.29 </w:t>
      </w:r>
    </w:p>
    <w:p w14:paraId="7AE4B7EB" w14:textId="165F0EAD" w:rsidR="007D49D0" w:rsidRPr="006711C3" w:rsidRDefault="00E63FC5" w:rsidP="00E63FC5">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r w:rsidRPr="00E63FC5">
        <w:rPr>
          <w:sz w:val="22"/>
          <w:szCs w:val="22"/>
          <w:lang w:val="en-US"/>
        </w:rPr>
        <w:t xml:space="preserve">- Piscitelli A., Tarallo V., Guarino L., Sannia G., </w:t>
      </w:r>
      <w:r w:rsidRPr="00E63FC5">
        <w:rPr>
          <w:b/>
          <w:bCs/>
          <w:sz w:val="22"/>
          <w:szCs w:val="22"/>
          <w:lang w:val="en-US"/>
        </w:rPr>
        <w:t>Birolo L</w:t>
      </w:r>
      <w:r w:rsidRPr="00E63FC5">
        <w:rPr>
          <w:sz w:val="22"/>
          <w:szCs w:val="22"/>
          <w:lang w:val="en-US"/>
        </w:rPr>
        <w:t xml:space="preserve">., Pezzella C. New lipases by mining of </w:t>
      </w:r>
      <w:r w:rsidRPr="00E63FC5">
        <w:rPr>
          <w:i/>
          <w:iCs/>
          <w:sz w:val="22"/>
          <w:szCs w:val="22"/>
          <w:lang w:val="en-US"/>
        </w:rPr>
        <w:t xml:space="preserve">Pleurotus ostreatus </w:t>
      </w:r>
      <w:r w:rsidRPr="00E63FC5">
        <w:rPr>
          <w:sz w:val="22"/>
          <w:szCs w:val="22"/>
          <w:lang w:val="en-US"/>
        </w:rPr>
        <w:t>genome. 2017, PLoS ONE 12(9): e0185377. DOI: 10.1371/journal.pone.0185377. IF 2.766</w:t>
      </w:r>
    </w:p>
    <w:p w14:paraId="33709E6B" w14:textId="77777777" w:rsidR="007D49D0" w:rsidRPr="001875AC" w:rsidRDefault="007D49D0" w:rsidP="007D49D0">
      <w:pPr>
        <w:pStyle w:val="Corpotesto"/>
        <w:pBdr>
          <w:top w:val="single" w:sz="4" w:space="1" w:color="auto"/>
          <w:left w:val="single" w:sz="4" w:space="4" w:color="auto"/>
          <w:bottom w:val="single" w:sz="4" w:space="1" w:color="auto"/>
          <w:right w:val="single" w:sz="4" w:space="4" w:color="auto"/>
        </w:pBdr>
        <w:tabs>
          <w:tab w:val="left" w:pos="709"/>
        </w:tabs>
        <w:ind w:left="360"/>
        <w:rPr>
          <w:sz w:val="22"/>
          <w:szCs w:val="22"/>
          <w:lang w:val="en-US"/>
        </w:rPr>
      </w:pPr>
    </w:p>
    <w:p w14:paraId="06C6C8DC" w14:textId="77777777" w:rsidR="00C878C4" w:rsidRDefault="00C878C4" w:rsidP="00C878C4">
      <w:pPr>
        <w:rPr>
          <w:b/>
          <w:bCs/>
          <w:sz w:val="28"/>
          <w:szCs w:val="28"/>
        </w:rPr>
      </w:pPr>
    </w:p>
    <w:p w14:paraId="3DE24CD8" w14:textId="10300805" w:rsidR="0078698E" w:rsidRPr="00F83389" w:rsidRDefault="0078698E" w:rsidP="00C878C4">
      <w:pPr>
        <w:pStyle w:val="Paragrafoelenco"/>
        <w:jc w:val="both"/>
      </w:pPr>
    </w:p>
    <w:sectPr w:rsidR="0078698E" w:rsidRPr="00F83389" w:rsidSect="00DF7A85">
      <w:head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4D543" w14:textId="77777777" w:rsidR="00385339" w:rsidRDefault="00385339" w:rsidP="0078698E">
      <w:r>
        <w:separator/>
      </w:r>
    </w:p>
  </w:endnote>
  <w:endnote w:type="continuationSeparator" w:id="0">
    <w:p w14:paraId="30D4FB0F" w14:textId="77777777" w:rsidR="00385339" w:rsidRDefault="00385339" w:rsidP="00786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9625D" w14:textId="77777777" w:rsidR="00385339" w:rsidRDefault="00385339" w:rsidP="0078698E">
      <w:r>
        <w:separator/>
      </w:r>
    </w:p>
  </w:footnote>
  <w:footnote w:type="continuationSeparator" w:id="0">
    <w:p w14:paraId="0A179B8F" w14:textId="77777777" w:rsidR="00385339" w:rsidRDefault="00385339" w:rsidP="007869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8B61D" w14:textId="7B0BD870" w:rsidR="0078698E" w:rsidRDefault="0078698E">
    <w:pPr>
      <w:pStyle w:val="Intestazione"/>
      <w:rPr>
        <w:rFonts w:ascii="Tahoma" w:hAnsi="Tahoma" w:cs="Tahoma"/>
        <w:color w:val="060A63"/>
        <w:sz w:val="32"/>
        <w:szCs w:val="32"/>
      </w:rPr>
    </w:pPr>
    <w:r w:rsidRPr="0078698E">
      <w:rPr>
        <w:rFonts w:ascii="Tahoma" w:hAnsi="Tahoma" w:cs="Tahoma"/>
        <w:noProof/>
        <w:color w:val="060A63"/>
        <w:sz w:val="32"/>
        <w:szCs w:val="32"/>
      </w:rPr>
      <w:drawing>
        <wp:anchor distT="0" distB="0" distL="114300" distR="114300" simplePos="0" relativeHeight="251658240" behindDoc="0" locked="0" layoutInCell="1" allowOverlap="1" wp14:anchorId="071BC251" wp14:editId="7510E0DF">
          <wp:simplePos x="0" y="0"/>
          <wp:positionH relativeFrom="column">
            <wp:posOffset>635</wp:posOffset>
          </wp:positionH>
          <wp:positionV relativeFrom="paragraph">
            <wp:posOffset>-25759</wp:posOffset>
          </wp:positionV>
          <wp:extent cx="1825670" cy="583200"/>
          <wp:effectExtent l="0" t="0" r="3175" b="127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5670" cy="583200"/>
                  </a:xfrm>
                  <a:prstGeom prst="rect">
                    <a:avLst/>
                  </a:prstGeom>
                </pic:spPr>
              </pic:pic>
            </a:graphicData>
          </a:graphic>
          <wp14:sizeRelV relativeFrom="margin">
            <wp14:pctHeight>0</wp14:pctHeight>
          </wp14:sizeRelV>
        </wp:anchor>
      </w:drawing>
    </w:r>
    <w:r w:rsidRPr="0078698E">
      <w:rPr>
        <w:rFonts w:ascii="Tahoma" w:hAnsi="Tahoma" w:cs="Tahoma"/>
        <w:color w:val="060A63"/>
        <w:sz w:val="32"/>
        <w:szCs w:val="32"/>
      </w:rPr>
      <w:t>Phd program in Computational and Quantitative Biology</w:t>
    </w:r>
  </w:p>
  <w:p w14:paraId="107B4504" w14:textId="77777777" w:rsidR="0078698E" w:rsidRPr="0078698E" w:rsidRDefault="0078698E">
    <w:pPr>
      <w:pStyle w:val="Intestazione"/>
      <w:rPr>
        <w:rFonts w:ascii="Tahoma" w:hAnsi="Tahoma" w:cs="Tahoma"/>
        <w:color w:val="060A63"/>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A5D25"/>
    <w:multiLevelType w:val="multilevel"/>
    <w:tmpl w:val="8976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C7321"/>
    <w:multiLevelType w:val="hybridMultilevel"/>
    <w:tmpl w:val="24C4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666AE2"/>
    <w:multiLevelType w:val="hybridMultilevel"/>
    <w:tmpl w:val="8602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664D82"/>
    <w:multiLevelType w:val="hybridMultilevel"/>
    <w:tmpl w:val="661E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AD37FB"/>
    <w:multiLevelType w:val="hybridMultilevel"/>
    <w:tmpl w:val="AB2C3388"/>
    <w:lvl w:ilvl="0" w:tplc="E00A85FE">
      <w:start w:val="1"/>
      <w:numFmt w:val="decimal"/>
      <w:lvlText w:val="%1."/>
      <w:lvlJc w:val="left"/>
      <w:pPr>
        <w:ind w:left="360" w:hanging="360"/>
      </w:pPr>
      <w:rPr>
        <w:b/>
        <w:sz w:val="20"/>
      </w:rPr>
    </w:lvl>
    <w:lvl w:ilvl="1" w:tplc="FED285E8">
      <w:start w:val="3"/>
      <w:numFmt w:val="bullet"/>
      <w:lvlText w:val="•"/>
      <w:lvlJc w:val="left"/>
      <w:pPr>
        <w:ind w:left="1440" w:hanging="720"/>
      </w:pPr>
      <w:rPr>
        <w:rFonts w:ascii="Calibri" w:eastAsia="MS Mincho" w:hAnsi="Calibri" w:cs="Calibri" w:hint="default"/>
      </w:rPr>
    </w:lvl>
    <w:lvl w:ilvl="2" w:tplc="380C6CC2">
      <w:start w:val="1"/>
      <w:numFmt w:val="upperLetter"/>
      <w:lvlText w:val="%3."/>
      <w:lvlJc w:val="left"/>
      <w:pPr>
        <w:ind w:left="1980" w:hanging="36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248541324">
    <w:abstractNumId w:val="0"/>
  </w:num>
  <w:num w:numId="2" w16cid:durableId="11496651">
    <w:abstractNumId w:val="2"/>
  </w:num>
  <w:num w:numId="3" w16cid:durableId="254175780">
    <w:abstractNumId w:val="3"/>
  </w:num>
  <w:num w:numId="4" w16cid:durableId="857164175">
    <w:abstractNumId w:val="1"/>
  </w:num>
  <w:num w:numId="5" w16cid:durableId="618531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98E"/>
    <w:rsid w:val="000232D9"/>
    <w:rsid w:val="00026AA1"/>
    <w:rsid w:val="0006165C"/>
    <w:rsid w:val="000624AB"/>
    <w:rsid w:val="000660C8"/>
    <w:rsid w:val="00084C96"/>
    <w:rsid w:val="00093065"/>
    <w:rsid w:val="000E15FA"/>
    <w:rsid w:val="000F6623"/>
    <w:rsid w:val="001176FC"/>
    <w:rsid w:val="00140FE4"/>
    <w:rsid w:val="001758E9"/>
    <w:rsid w:val="001A050F"/>
    <w:rsid w:val="001C061C"/>
    <w:rsid w:val="001D3972"/>
    <w:rsid w:val="001F3A17"/>
    <w:rsid w:val="002010A0"/>
    <w:rsid w:val="00203AC5"/>
    <w:rsid w:val="0020524D"/>
    <w:rsid w:val="00215950"/>
    <w:rsid w:val="00246801"/>
    <w:rsid w:val="0025289B"/>
    <w:rsid w:val="00282525"/>
    <w:rsid w:val="00292BD0"/>
    <w:rsid w:val="00360D4D"/>
    <w:rsid w:val="0037081A"/>
    <w:rsid w:val="0038392B"/>
    <w:rsid w:val="00385339"/>
    <w:rsid w:val="00400DA7"/>
    <w:rsid w:val="004541D0"/>
    <w:rsid w:val="00477069"/>
    <w:rsid w:val="00482B74"/>
    <w:rsid w:val="004A5A63"/>
    <w:rsid w:val="004B4D98"/>
    <w:rsid w:val="004E2425"/>
    <w:rsid w:val="004E6F3A"/>
    <w:rsid w:val="00555E59"/>
    <w:rsid w:val="00596FA0"/>
    <w:rsid w:val="005A18F5"/>
    <w:rsid w:val="005B5AAE"/>
    <w:rsid w:val="005C667A"/>
    <w:rsid w:val="00604D71"/>
    <w:rsid w:val="00605E45"/>
    <w:rsid w:val="00607B56"/>
    <w:rsid w:val="00621E7E"/>
    <w:rsid w:val="006339A3"/>
    <w:rsid w:val="00633A2D"/>
    <w:rsid w:val="00673F0B"/>
    <w:rsid w:val="006A6824"/>
    <w:rsid w:val="006B7C41"/>
    <w:rsid w:val="006D1D07"/>
    <w:rsid w:val="006E3F0A"/>
    <w:rsid w:val="006E5B0B"/>
    <w:rsid w:val="007121A6"/>
    <w:rsid w:val="00741066"/>
    <w:rsid w:val="0075379D"/>
    <w:rsid w:val="00777DD6"/>
    <w:rsid w:val="0078698E"/>
    <w:rsid w:val="00797D6C"/>
    <w:rsid w:val="007A128E"/>
    <w:rsid w:val="007A611C"/>
    <w:rsid w:val="007C6801"/>
    <w:rsid w:val="007D032E"/>
    <w:rsid w:val="007D29DB"/>
    <w:rsid w:val="007D49D0"/>
    <w:rsid w:val="00832E98"/>
    <w:rsid w:val="00860F45"/>
    <w:rsid w:val="00865FB7"/>
    <w:rsid w:val="00885056"/>
    <w:rsid w:val="008A1E5B"/>
    <w:rsid w:val="008A4384"/>
    <w:rsid w:val="008A6B85"/>
    <w:rsid w:val="008C25BD"/>
    <w:rsid w:val="008E1AC0"/>
    <w:rsid w:val="00921430"/>
    <w:rsid w:val="00937F38"/>
    <w:rsid w:val="00945464"/>
    <w:rsid w:val="009709AE"/>
    <w:rsid w:val="009729EF"/>
    <w:rsid w:val="009C7ED5"/>
    <w:rsid w:val="009D4FC8"/>
    <w:rsid w:val="00A043AE"/>
    <w:rsid w:val="00A114C1"/>
    <w:rsid w:val="00A2501A"/>
    <w:rsid w:val="00A252A5"/>
    <w:rsid w:val="00A26366"/>
    <w:rsid w:val="00A7079E"/>
    <w:rsid w:val="00B03A55"/>
    <w:rsid w:val="00B164C4"/>
    <w:rsid w:val="00B52DE9"/>
    <w:rsid w:val="00B72256"/>
    <w:rsid w:val="00B7318A"/>
    <w:rsid w:val="00B97F55"/>
    <w:rsid w:val="00BA1BE3"/>
    <w:rsid w:val="00BB315C"/>
    <w:rsid w:val="00BD6CDF"/>
    <w:rsid w:val="00C00216"/>
    <w:rsid w:val="00C037CB"/>
    <w:rsid w:val="00C328FE"/>
    <w:rsid w:val="00C61C2B"/>
    <w:rsid w:val="00C62420"/>
    <w:rsid w:val="00C627CC"/>
    <w:rsid w:val="00C878C4"/>
    <w:rsid w:val="00CA39B3"/>
    <w:rsid w:val="00CD4A6A"/>
    <w:rsid w:val="00CE1594"/>
    <w:rsid w:val="00CF679F"/>
    <w:rsid w:val="00D16652"/>
    <w:rsid w:val="00D82784"/>
    <w:rsid w:val="00DC63D3"/>
    <w:rsid w:val="00DD0F82"/>
    <w:rsid w:val="00DD5B6A"/>
    <w:rsid w:val="00DF64F9"/>
    <w:rsid w:val="00DF7A85"/>
    <w:rsid w:val="00E01474"/>
    <w:rsid w:val="00E3259E"/>
    <w:rsid w:val="00E35A63"/>
    <w:rsid w:val="00E46A11"/>
    <w:rsid w:val="00E63FC5"/>
    <w:rsid w:val="00E67C9C"/>
    <w:rsid w:val="00E82D4E"/>
    <w:rsid w:val="00EB28E5"/>
    <w:rsid w:val="00EF2585"/>
    <w:rsid w:val="00F029AC"/>
    <w:rsid w:val="00F207BB"/>
    <w:rsid w:val="00F43DEE"/>
    <w:rsid w:val="00F83389"/>
    <w:rsid w:val="00FA0B7F"/>
    <w:rsid w:val="00FB0895"/>
    <w:rsid w:val="00FC05E0"/>
    <w:rsid w:val="00FC2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5FB4F"/>
  <w15:chartTrackingRefBased/>
  <w15:docId w15:val="{F935F9E9-CAA1-A04B-9178-C10239949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8698E"/>
    <w:pPr>
      <w:tabs>
        <w:tab w:val="center" w:pos="4513"/>
        <w:tab w:val="right" w:pos="9026"/>
      </w:tabs>
    </w:pPr>
  </w:style>
  <w:style w:type="character" w:customStyle="1" w:styleId="IntestazioneCarattere">
    <w:name w:val="Intestazione Carattere"/>
    <w:basedOn w:val="Carpredefinitoparagrafo"/>
    <w:link w:val="Intestazione"/>
    <w:uiPriority w:val="99"/>
    <w:rsid w:val="0078698E"/>
  </w:style>
  <w:style w:type="paragraph" w:styleId="Pidipagina">
    <w:name w:val="footer"/>
    <w:basedOn w:val="Normale"/>
    <w:link w:val="PidipaginaCarattere"/>
    <w:uiPriority w:val="99"/>
    <w:unhideWhenUsed/>
    <w:rsid w:val="0078698E"/>
    <w:pPr>
      <w:tabs>
        <w:tab w:val="center" w:pos="4513"/>
        <w:tab w:val="right" w:pos="9026"/>
      </w:tabs>
    </w:pPr>
  </w:style>
  <w:style w:type="character" w:customStyle="1" w:styleId="PidipaginaCarattere">
    <w:name w:val="Piè di pagina Carattere"/>
    <w:basedOn w:val="Carpredefinitoparagrafo"/>
    <w:link w:val="Pidipagina"/>
    <w:uiPriority w:val="99"/>
    <w:rsid w:val="0078698E"/>
  </w:style>
  <w:style w:type="character" w:styleId="Collegamentoipertestuale">
    <w:name w:val="Hyperlink"/>
    <w:basedOn w:val="Carpredefinitoparagrafo"/>
    <w:uiPriority w:val="99"/>
    <w:unhideWhenUsed/>
    <w:rsid w:val="0075379D"/>
    <w:rPr>
      <w:color w:val="0563C1" w:themeColor="hyperlink"/>
      <w:u w:val="single"/>
    </w:rPr>
  </w:style>
  <w:style w:type="character" w:styleId="Menzionenonrisolta">
    <w:name w:val="Unresolved Mention"/>
    <w:basedOn w:val="Carpredefinitoparagrafo"/>
    <w:uiPriority w:val="99"/>
    <w:semiHidden/>
    <w:unhideWhenUsed/>
    <w:rsid w:val="0075379D"/>
    <w:rPr>
      <w:color w:val="605E5C"/>
      <w:shd w:val="clear" w:color="auto" w:fill="E1DFDD"/>
    </w:rPr>
  </w:style>
  <w:style w:type="paragraph" w:styleId="Paragrafoelenco">
    <w:name w:val="List Paragraph"/>
    <w:basedOn w:val="Normale"/>
    <w:uiPriority w:val="34"/>
    <w:qFormat/>
    <w:rsid w:val="00203AC5"/>
    <w:pPr>
      <w:ind w:left="720"/>
      <w:contextualSpacing/>
    </w:pPr>
  </w:style>
  <w:style w:type="character" w:styleId="Collegamentovisitato">
    <w:name w:val="FollowedHyperlink"/>
    <w:basedOn w:val="Carpredefinitoparagrafo"/>
    <w:uiPriority w:val="99"/>
    <w:semiHidden/>
    <w:unhideWhenUsed/>
    <w:rsid w:val="009729EF"/>
    <w:rPr>
      <w:color w:val="954F72" w:themeColor="followedHyperlink"/>
      <w:u w:val="single"/>
    </w:rPr>
  </w:style>
  <w:style w:type="paragraph" w:customStyle="1" w:styleId="Default">
    <w:name w:val="Default"/>
    <w:rsid w:val="007D49D0"/>
    <w:pPr>
      <w:autoSpaceDE w:val="0"/>
      <w:autoSpaceDN w:val="0"/>
      <w:adjustRightInd w:val="0"/>
    </w:pPr>
    <w:rPr>
      <w:rFonts w:ascii="Times New Roman" w:eastAsiaTheme="minorEastAsia" w:hAnsi="Times New Roman" w:cs="Times New Roman"/>
      <w:color w:val="000000"/>
      <w:lang w:val="en-GB" w:eastAsia="it-IT"/>
    </w:rPr>
  </w:style>
  <w:style w:type="paragraph" w:styleId="Corpotesto">
    <w:name w:val="Body Text"/>
    <w:basedOn w:val="Normale"/>
    <w:link w:val="CorpotestoCarattere"/>
    <w:rsid w:val="007D49D0"/>
    <w:pPr>
      <w:spacing w:before="100" w:beforeAutospacing="1" w:after="100" w:afterAutospacing="1"/>
    </w:pPr>
    <w:rPr>
      <w:rFonts w:ascii="Times New Roman" w:eastAsia="Times New Roman" w:hAnsi="Times New Roman" w:cs="Times New Roman"/>
      <w:lang w:val="it-IT" w:eastAsia="it-IT"/>
    </w:rPr>
  </w:style>
  <w:style w:type="character" w:customStyle="1" w:styleId="CorpotestoCarattere">
    <w:name w:val="Corpo testo Carattere"/>
    <w:basedOn w:val="Carpredefinitoparagrafo"/>
    <w:link w:val="Corpotesto"/>
    <w:rsid w:val="007D49D0"/>
    <w:rPr>
      <w:rFonts w:ascii="Times New Roman" w:eastAsia="Times New Roman" w:hAnsi="Times New Roman" w:cs="Times New Roman"/>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224789">
      <w:bodyDiv w:val="1"/>
      <w:marLeft w:val="0"/>
      <w:marRight w:val="0"/>
      <w:marTop w:val="0"/>
      <w:marBottom w:val="0"/>
      <w:divBdr>
        <w:top w:val="none" w:sz="0" w:space="0" w:color="auto"/>
        <w:left w:val="none" w:sz="0" w:space="0" w:color="auto"/>
        <w:bottom w:val="none" w:sz="0" w:space="0" w:color="auto"/>
        <w:right w:val="none" w:sz="0" w:space="0" w:color="auto"/>
      </w:divBdr>
    </w:div>
    <w:div w:id="180122481">
      <w:bodyDiv w:val="1"/>
      <w:marLeft w:val="0"/>
      <w:marRight w:val="0"/>
      <w:marTop w:val="0"/>
      <w:marBottom w:val="0"/>
      <w:divBdr>
        <w:top w:val="none" w:sz="0" w:space="0" w:color="auto"/>
        <w:left w:val="none" w:sz="0" w:space="0" w:color="auto"/>
        <w:bottom w:val="none" w:sz="0" w:space="0" w:color="auto"/>
        <w:right w:val="none" w:sz="0" w:space="0" w:color="auto"/>
      </w:divBdr>
    </w:div>
    <w:div w:id="185758026">
      <w:bodyDiv w:val="1"/>
      <w:marLeft w:val="0"/>
      <w:marRight w:val="0"/>
      <w:marTop w:val="0"/>
      <w:marBottom w:val="0"/>
      <w:divBdr>
        <w:top w:val="none" w:sz="0" w:space="0" w:color="auto"/>
        <w:left w:val="none" w:sz="0" w:space="0" w:color="auto"/>
        <w:bottom w:val="none" w:sz="0" w:space="0" w:color="auto"/>
        <w:right w:val="none" w:sz="0" w:space="0" w:color="auto"/>
      </w:divBdr>
    </w:div>
    <w:div w:id="408968186">
      <w:bodyDiv w:val="1"/>
      <w:marLeft w:val="0"/>
      <w:marRight w:val="0"/>
      <w:marTop w:val="0"/>
      <w:marBottom w:val="0"/>
      <w:divBdr>
        <w:top w:val="none" w:sz="0" w:space="0" w:color="auto"/>
        <w:left w:val="none" w:sz="0" w:space="0" w:color="auto"/>
        <w:bottom w:val="none" w:sz="0" w:space="0" w:color="auto"/>
        <w:right w:val="none" w:sz="0" w:space="0" w:color="auto"/>
      </w:divBdr>
      <w:divsChild>
        <w:div w:id="1028603535">
          <w:marLeft w:val="0"/>
          <w:marRight w:val="0"/>
          <w:marTop w:val="0"/>
          <w:marBottom w:val="0"/>
          <w:divBdr>
            <w:top w:val="none" w:sz="0" w:space="0" w:color="auto"/>
            <w:left w:val="none" w:sz="0" w:space="0" w:color="auto"/>
            <w:bottom w:val="none" w:sz="0" w:space="0" w:color="auto"/>
            <w:right w:val="none" w:sz="0" w:space="0" w:color="auto"/>
          </w:divBdr>
          <w:divsChild>
            <w:div w:id="3769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73570">
      <w:bodyDiv w:val="1"/>
      <w:marLeft w:val="0"/>
      <w:marRight w:val="0"/>
      <w:marTop w:val="0"/>
      <w:marBottom w:val="0"/>
      <w:divBdr>
        <w:top w:val="none" w:sz="0" w:space="0" w:color="auto"/>
        <w:left w:val="none" w:sz="0" w:space="0" w:color="auto"/>
        <w:bottom w:val="none" w:sz="0" w:space="0" w:color="auto"/>
        <w:right w:val="none" w:sz="0" w:space="0" w:color="auto"/>
      </w:divBdr>
    </w:div>
    <w:div w:id="626668623">
      <w:bodyDiv w:val="1"/>
      <w:marLeft w:val="0"/>
      <w:marRight w:val="0"/>
      <w:marTop w:val="0"/>
      <w:marBottom w:val="0"/>
      <w:divBdr>
        <w:top w:val="none" w:sz="0" w:space="0" w:color="auto"/>
        <w:left w:val="none" w:sz="0" w:space="0" w:color="auto"/>
        <w:bottom w:val="none" w:sz="0" w:space="0" w:color="auto"/>
        <w:right w:val="none" w:sz="0" w:space="0" w:color="auto"/>
      </w:divBdr>
    </w:div>
    <w:div w:id="1026637299">
      <w:bodyDiv w:val="1"/>
      <w:marLeft w:val="0"/>
      <w:marRight w:val="0"/>
      <w:marTop w:val="0"/>
      <w:marBottom w:val="0"/>
      <w:divBdr>
        <w:top w:val="none" w:sz="0" w:space="0" w:color="auto"/>
        <w:left w:val="none" w:sz="0" w:space="0" w:color="auto"/>
        <w:bottom w:val="none" w:sz="0" w:space="0" w:color="auto"/>
        <w:right w:val="none" w:sz="0" w:space="0" w:color="auto"/>
      </w:divBdr>
    </w:div>
    <w:div w:id="1042553451">
      <w:bodyDiv w:val="1"/>
      <w:marLeft w:val="0"/>
      <w:marRight w:val="0"/>
      <w:marTop w:val="0"/>
      <w:marBottom w:val="0"/>
      <w:divBdr>
        <w:top w:val="none" w:sz="0" w:space="0" w:color="auto"/>
        <w:left w:val="none" w:sz="0" w:space="0" w:color="auto"/>
        <w:bottom w:val="none" w:sz="0" w:space="0" w:color="auto"/>
        <w:right w:val="none" w:sz="0" w:space="0" w:color="auto"/>
      </w:divBdr>
    </w:div>
    <w:div w:id="1311446009">
      <w:bodyDiv w:val="1"/>
      <w:marLeft w:val="0"/>
      <w:marRight w:val="0"/>
      <w:marTop w:val="0"/>
      <w:marBottom w:val="0"/>
      <w:divBdr>
        <w:top w:val="none" w:sz="0" w:space="0" w:color="auto"/>
        <w:left w:val="none" w:sz="0" w:space="0" w:color="auto"/>
        <w:bottom w:val="none" w:sz="0" w:space="0" w:color="auto"/>
        <w:right w:val="none" w:sz="0" w:space="0" w:color="auto"/>
      </w:divBdr>
    </w:div>
    <w:div w:id="1337534848">
      <w:bodyDiv w:val="1"/>
      <w:marLeft w:val="0"/>
      <w:marRight w:val="0"/>
      <w:marTop w:val="0"/>
      <w:marBottom w:val="0"/>
      <w:divBdr>
        <w:top w:val="none" w:sz="0" w:space="0" w:color="auto"/>
        <w:left w:val="none" w:sz="0" w:space="0" w:color="auto"/>
        <w:bottom w:val="none" w:sz="0" w:space="0" w:color="auto"/>
        <w:right w:val="none" w:sz="0" w:space="0" w:color="auto"/>
      </w:divBdr>
    </w:div>
    <w:div w:id="1505168820">
      <w:bodyDiv w:val="1"/>
      <w:marLeft w:val="0"/>
      <w:marRight w:val="0"/>
      <w:marTop w:val="0"/>
      <w:marBottom w:val="0"/>
      <w:divBdr>
        <w:top w:val="none" w:sz="0" w:space="0" w:color="auto"/>
        <w:left w:val="none" w:sz="0" w:space="0" w:color="auto"/>
        <w:bottom w:val="none" w:sz="0" w:space="0" w:color="auto"/>
        <w:right w:val="none" w:sz="0" w:space="0" w:color="auto"/>
      </w:divBdr>
    </w:div>
    <w:div w:id="1555266788">
      <w:bodyDiv w:val="1"/>
      <w:marLeft w:val="0"/>
      <w:marRight w:val="0"/>
      <w:marTop w:val="0"/>
      <w:marBottom w:val="0"/>
      <w:divBdr>
        <w:top w:val="none" w:sz="0" w:space="0" w:color="auto"/>
        <w:left w:val="none" w:sz="0" w:space="0" w:color="auto"/>
        <w:bottom w:val="none" w:sz="0" w:space="0" w:color="auto"/>
        <w:right w:val="none" w:sz="0" w:space="0" w:color="auto"/>
      </w:divBdr>
    </w:div>
    <w:div w:id="1771003567">
      <w:bodyDiv w:val="1"/>
      <w:marLeft w:val="0"/>
      <w:marRight w:val="0"/>
      <w:marTop w:val="0"/>
      <w:marBottom w:val="0"/>
      <w:divBdr>
        <w:top w:val="none" w:sz="0" w:space="0" w:color="auto"/>
        <w:left w:val="none" w:sz="0" w:space="0" w:color="auto"/>
        <w:bottom w:val="none" w:sz="0" w:space="0" w:color="auto"/>
        <w:right w:val="none" w:sz="0" w:space="0" w:color="auto"/>
      </w:divBdr>
    </w:div>
    <w:div w:id="1931041355">
      <w:bodyDiv w:val="1"/>
      <w:marLeft w:val="0"/>
      <w:marRight w:val="0"/>
      <w:marTop w:val="0"/>
      <w:marBottom w:val="0"/>
      <w:divBdr>
        <w:top w:val="none" w:sz="0" w:space="0" w:color="auto"/>
        <w:left w:val="none" w:sz="0" w:space="0" w:color="auto"/>
        <w:bottom w:val="none" w:sz="0" w:space="0" w:color="auto"/>
        <w:right w:val="none" w:sz="0" w:space="0" w:color="auto"/>
      </w:divBdr>
    </w:div>
    <w:div w:id="2040080039">
      <w:bodyDiv w:val="1"/>
      <w:marLeft w:val="0"/>
      <w:marRight w:val="0"/>
      <w:marTop w:val="0"/>
      <w:marBottom w:val="0"/>
      <w:divBdr>
        <w:top w:val="none" w:sz="0" w:space="0" w:color="auto"/>
        <w:left w:val="none" w:sz="0" w:space="0" w:color="auto"/>
        <w:bottom w:val="none" w:sz="0" w:space="0" w:color="auto"/>
        <w:right w:val="none" w:sz="0" w:space="0" w:color="auto"/>
      </w:divBdr>
    </w:div>
    <w:div w:id="20852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cholar.google.it/citations?view_op=view_citation&amp;hl=it&amp;user=T1fDMo8AAAAJ&amp;sortby=pubdate&amp;citation_for_view=T1fDMo8AAAAJ:4vMrXwiscB8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lar.google.it/citations?view_op=view_citation&amp;hl=it&amp;user=T1fDMo8AAAAJ&amp;sortby=pubdate&amp;citation_for_view=T1fDMo8AAAAJ:Ade32sEp0pk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lar.google.it/citations?view_op=view_citation&amp;hl=it&amp;user=T1fDMo8AAAAJ&amp;sortby=pubdate&amp;citation_for_view=T1fDMo8AAAAJ:rHJHxKgnXwkC" TargetMode="External"/><Relationship Id="rId5" Type="http://schemas.openxmlformats.org/officeDocument/2006/relationships/webSettings" Target="webSettings.xml"/><Relationship Id="rId15" Type="http://schemas.openxmlformats.org/officeDocument/2006/relationships/hyperlink" Target="https://scholar.google.it/citations?view_op=view_citation&amp;hl=it&amp;user=T1fDMo8AAAAJ&amp;cstart=20&amp;pagesize=80&amp;sortby=pubdate&amp;citation_for_view=T1fDMo8AAAAJ:9pM33mqn1YgC" TargetMode="External"/><Relationship Id="rId10" Type="http://schemas.openxmlformats.org/officeDocument/2006/relationships/hyperlink" Target="https://scholar.google.it/citations?view_op=view_citation&amp;hl=it&amp;user=T1fDMo8AAAAJ&amp;sortby=pubdate&amp;citation_for_view=T1fDMo8AAAAJ:uVUOdF_882E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holar.google.it/citations?view_op=view_citation&amp;hl=it&amp;user=T1fDMo8AAAAJ&amp;cstart=20&amp;pagesize=80&amp;sortby=pubdate&amp;citation_for_view=T1fDMo8AAAAJ:4fGpz3EwCP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CE1C4-4E00-F446-A146-FB1CA733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Pages>
  <Words>2418</Words>
  <Characters>13784</Characters>
  <Application>Microsoft Office Word</Application>
  <DocSecurity>0</DocSecurity>
  <Lines>114</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CECCARELLI</dc:creator>
  <cp:keywords/>
  <dc:description/>
  <cp:lastModifiedBy>ALESSANDRO VERGARA</cp:lastModifiedBy>
  <cp:revision>40</cp:revision>
  <dcterms:created xsi:type="dcterms:W3CDTF">2025-05-09T09:26:00Z</dcterms:created>
  <dcterms:modified xsi:type="dcterms:W3CDTF">2025-05-21T08:00:00Z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2025-04-16T10:38:17Z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f19be415-9387-4736-8c85-b8a746dfb8d0</vt:lpwstr>
  </property>
  <property fmtid="{D5CDD505-2E9C-101B-9397-08002B2CF9AE}" pid="8" name="MSIP_Label_2ad0b24d-6422-44b0-b3de-abb3a9e8c81a_ContentBits">
    <vt:lpwstr>0</vt:lpwstr>
  </property>
  <property fmtid="{D5CDD505-2E9C-101B-9397-08002B2CF9AE}" pid="9" name="MSIP_Label_2ad0b24d-6422-44b0-b3de-abb3a9e8c81a_Tag">
    <vt:lpwstr>10, 3, 0, 1</vt:lpwstr>
  </property>
</Properties>
</file>