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C1128" w14:textId="77777777" w:rsidR="00437F5F" w:rsidRDefault="00000000">
      <w:pPr>
        <w:spacing w:after="40"/>
      </w:pPr>
      <w:r>
        <w:rPr>
          <w:b/>
          <w:bCs/>
          <w:color w:val="595959"/>
          <w:sz w:val="18"/>
          <w:szCs w:val="18"/>
        </w:rPr>
        <w:t>PhD PROJECT PROPOSAL — Computational Quantitative Biology</w:t>
      </w:r>
    </w:p>
    <w:p w14:paraId="207AFEEE" w14:textId="77777777" w:rsidR="00437F5F" w:rsidRDefault="00000000">
      <w:pPr>
        <w:pBdr>
          <w:bottom w:val="single" w:sz="12" w:space="4" w:color="1F4E79"/>
        </w:pBdr>
        <w:spacing w:after="200"/>
      </w:pPr>
      <w:r>
        <w:rPr>
          <w:b/>
          <w:bCs/>
          <w:color w:val="1F4E79"/>
          <w:sz w:val="44"/>
          <w:szCs w:val="44"/>
        </w:rPr>
        <w:t>PROMetheus</w:t>
      </w:r>
    </w:p>
    <w:p w14:paraId="2992AA4F" w14:textId="77777777" w:rsidR="00437F5F" w:rsidRDefault="00000000">
      <w:pPr>
        <w:spacing w:after="220"/>
      </w:pPr>
      <w:r>
        <w:rPr>
          <w:i/>
          <w:iCs/>
          <w:color w:val="595959"/>
          <w:sz w:val="24"/>
          <w:szCs w:val="24"/>
        </w:rPr>
        <w:t>AI-designed synthetic promoters for precision gene therapy of inherited retinal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98"/>
        <w:gridCol w:w="6898"/>
      </w:tblGrid>
      <w:tr w:rsidR="00437F5F" w14:paraId="2D4490AD" w14:textId="77777777" w:rsidTr="00D44775">
        <w:tblPrEx>
          <w:tblCellMar>
            <w:top w:w="0" w:type="dxa"/>
            <w:bottom w:w="0" w:type="dxa"/>
          </w:tblCellMar>
        </w:tblPrEx>
        <w:tc>
          <w:tcPr>
            <w:tcW w:w="2998" w:type="dxa"/>
            <w:shd w:val="clear" w:color="auto" w:fill="F2F2F2"/>
            <w:tcMar>
              <w:top w:w="80" w:type="dxa"/>
              <w:left w:w="100" w:type="dxa"/>
              <w:bottom w:w="80" w:type="dxa"/>
              <w:right w:w="100" w:type="dxa"/>
            </w:tcMar>
          </w:tcPr>
          <w:p w14:paraId="7A9C54DD" w14:textId="77777777" w:rsidR="00437F5F" w:rsidRDefault="00000000">
            <w:r>
              <w:rPr>
                <w:b/>
                <w:bCs/>
              </w:rPr>
              <w:t>Principal Investigator</w:t>
            </w:r>
          </w:p>
        </w:tc>
        <w:tc>
          <w:tcPr>
            <w:tcW w:w="6898" w:type="dxa"/>
            <w:tcMar>
              <w:top w:w="80" w:type="dxa"/>
              <w:left w:w="100" w:type="dxa"/>
              <w:bottom w:w="80" w:type="dxa"/>
              <w:right w:w="100" w:type="dxa"/>
            </w:tcMar>
          </w:tcPr>
          <w:p w14:paraId="5A709D04" w14:textId="77777777" w:rsidR="00437F5F" w:rsidRDefault="00000000">
            <w:r>
              <w:t>Diego di Bernardo</w:t>
            </w:r>
          </w:p>
        </w:tc>
      </w:tr>
      <w:tr w:rsidR="00437F5F" w14:paraId="59834595" w14:textId="77777777" w:rsidTr="00D44775">
        <w:tblPrEx>
          <w:tblCellMar>
            <w:top w:w="0" w:type="dxa"/>
            <w:bottom w:w="0" w:type="dxa"/>
          </w:tblCellMar>
        </w:tblPrEx>
        <w:tc>
          <w:tcPr>
            <w:tcW w:w="2998" w:type="dxa"/>
            <w:shd w:val="clear" w:color="auto" w:fill="F2F2F2"/>
            <w:tcMar>
              <w:top w:w="80" w:type="dxa"/>
              <w:left w:w="100" w:type="dxa"/>
              <w:bottom w:w="80" w:type="dxa"/>
              <w:right w:w="100" w:type="dxa"/>
            </w:tcMar>
          </w:tcPr>
          <w:p w14:paraId="6504C94B" w14:textId="77777777" w:rsidR="00437F5F" w:rsidRDefault="00000000">
            <w:r>
              <w:rPr>
                <w:b/>
                <w:bCs/>
              </w:rPr>
              <w:t>Host Institute / Program</w:t>
            </w:r>
          </w:p>
        </w:tc>
        <w:tc>
          <w:tcPr>
            <w:tcW w:w="6898" w:type="dxa"/>
            <w:tcMar>
              <w:top w:w="80" w:type="dxa"/>
              <w:left w:w="100" w:type="dxa"/>
              <w:bottom w:w="80" w:type="dxa"/>
              <w:right w:w="100" w:type="dxa"/>
            </w:tcMar>
          </w:tcPr>
          <w:p w14:paraId="03AB30FE" w14:textId="77777777" w:rsidR="00437F5F" w:rsidRDefault="00000000">
            <w:r>
              <w:t>TIGEM (Telethon Institute of Genetics and Medicine) — Genomic Medicine</w:t>
            </w:r>
          </w:p>
        </w:tc>
      </w:tr>
      <w:tr w:rsidR="00437F5F" w14:paraId="4E5DCE9C" w14:textId="77777777" w:rsidTr="00D44775">
        <w:tblPrEx>
          <w:tblCellMar>
            <w:top w:w="0" w:type="dxa"/>
            <w:bottom w:w="0" w:type="dxa"/>
          </w:tblCellMar>
        </w:tblPrEx>
        <w:tc>
          <w:tcPr>
            <w:tcW w:w="2998" w:type="dxa"/>
            <w:shd w:val="clear" w:color="auto" w:fill="F2F2F2"/>
            <w:tcMar>
              <w:top w:w="80" w:type="dxa"/>
              <w:left w:w="100" w:type="dxa"/>
              <w:bottom w:w="80" w:type="dxa"/>
              <w:right w:w="100" w:type="dxa"/>
            </w:tcMar>
          </w:tcPr>
          <w:p w14:paraId="1C113FA5" w14:textId="77777777" w:rsidR="00437F5F" w:rsidRDefault="00000000">
            <w:r>
              <w:rPr>
                <w:b/>
                <w:bCs/>
              </w:rPr>
              <w:t>Duration</w:t>
            </w:r>
          </w:p>
        </w:tc>
        <w:tc>
          <w:tcPr>
            <w:tcW w:w="6898" w:type="dxa"/>
            <w:tcMar>
              <w:top w:w="80" w:type="dxa"/>
              <w:left w:w="100" w:type="dxa"/>
              <w:bottom w:w="80" w:type="dxa"/>
              <w:right w:w="100" w:type="dxa"/>
            </w:tcMar>
          </w:tcPr>
          <w:p w14:paraId="5CC3609A" w14:textId="77777777" w:rsidR="00437F5F" w:rsidRDefault="00000000">
            <w:r>
              <w:t>3 years</w:t>
            </w:r>
          </w:p>
        </w:tc>
      </w:tr>
    </w:tbl>
    <w:p w14:paraId="173E6FDB" w14:textId="77777777" w:rsidR="00437F5F" w:rsidRDefault="00437F5F">
      <w:pPr>
        <w:spacing w:after="200"/>
      </w:pPr>
    </w:p>
    <w:p w14:paraId="5155F40F" w14:textId="77777777" w:rsidR="00437F5F" w:rsidRDefault="00000000">
      <w:pPr>
        <w:pStyle w:val="Heading1"/>
        <w:spacing w:before="280" w:after="120"/>
      </w:pPr>
      <w:r>
        <w:rPr>
          <w:b/>
          <w:bCs/>
          <w:color w:val="1F4E79"/>
          <w:sz w:val="26"/>
          <w:szCs w:val="26"/>
        </w:rPr>
        <w:t>The problem</w:t>
      </w:r>
    </w:p>
    <w:p w14:paraId="6980B292" w14:textId="2B4AE04F" w:rsidR="00437F5F" w:rsidRDefault="00000000">
      <w:pPr>
        <w:spacing w:after="160" w:line="276" w:lineRule="auto"/>
      </w:pPr>
      <w:r>
        <w:rPr>
          <w:sz w:val="22"/>
          <w:szCs w:val="22"/>
        </w:rPr>
        <w:t>Gene therapy works best when a therapeutic gene is switched on only in the cells that need it</w:t>
      </w:r>
      <w:r w:rsidR="00D44775">
        <w:rPr>
          <w:sz w:val="22"/>
          <w:szCs w:val="22"/>
        </w:rPr>
        <w:t xml:space="preserve">, </w:t>
      </w:r>
      <w:r>
        <w:rPr>
          <w:sz w:val="22"/>
          <w:szCs w:val="22"/>
        </w:rPr>
        <w:t xml:space="preserve"> for example, only in the light-sensing rod and cone cells of the retina, and not in neighbouring cell types. This selectivity is controlled by short DNA sequences called promoters. Today's promoters are largely hand-picked from nature: they are often too long to fit inside the delivery vehicle used in gene therapy (the AAV viral vector, which carries at most ~4.7 kb of DNA), and they are rarely perfectly cell-type-specific. Designing better, more compact promoters by hand is hard because we still don't fully understand the regulatory "grammar"</w:t>
      </w:r>
      <w:r w:rsidR="00D44775">
        <w:rPr>
          <w:sz w:val="22"/>
          <w:szCs w:val="22"/>
        </w:rPr>
        <w:t xml:space="preserve">, </w:t>
      </w:r>
      <w:r>
        <w:rPr>
          <w:sz w:val="22"/>
          <w:szCs w:val="22"/>
        </w:rPr>
        <w:t>which combinations of DNA motifs, spacing and context switch a gene on in one cell type and off in another.</w:t>
      </w:r>
    </w:p>
    <w:p w14:paraId="094F840D" w14:textId="77777777" w:rsidR="00437F5F" w:rsidRDefault="00000000">
      <w:pPr>
        <w:pStyle w:val="Heading1"/>
        <w:spacing w:before="280" w:after="120"/>
      </w:pPr>
      <w:r>
        <w:rPr>
          <w:b/>
          <w:bCs/>
          <w:color w:val="1F4E79"/>
          <w:sz w:val="26"/>
          <w:szCs w:val="26"/>
        </w:rPr>
        <w:t>The idea</w:t>
      </w:r>
    </w:p>
    <w:p w14:paraId="4A89A79C" w14:textId="56CF4D03" w:rsidR="00437F5F" w:rsidRDefault="00000000">
      <w:pPr>
        <w:spacing w:after="160" w:line="276" w:lineRule="auto"/>
      </w:pPr>
      <w:r>
        <w:rPr>
          <w:sz w:val="22"/>
          <w:szCs w:val="22"/>
        </w:rPr>
        <w:t>Instead of designing promoters by hand, PROMetheus will use generative AI</w:t>
      </w:r>
      <w:r w:rsidR="00D44775">
        <w:rPr>
          <w:sz w:val="22"/>
          <w:szCs w:val="22"/>
        </w:rPr>
        <w:t xml:space="preserve">, </w:t>
      </w:r>
      <w:r>
        <w:rPr>
          <w:sz w:val="22"/>
          <w:szCs w:val="22"/>
        </w:rPr>
        <w:t>the same family of methods behind modern protein design</w:t>
      </w:r>
      <w:r w:rsidR="00D44775">
        <w:rPr>
          <w:sz w:val="22"/>
          <w:szCs w:val="22"/>
        </w:rPr>
        <w:t xml:space="preserve">, </w:t>
      </w:r>
      <w:r>
        <w:rPr>
          <w:sz w:val="22"/>
          <w:szCs w:val="22"/>
        </w:rPr>
        <w:t>to invent short (~200 bp), synthetic DNA promoters from scratch, and then test them directly in living retinal tissue. As proof of concept, the team has already built Promoter-GPT, a first-generation model trained on ~700,000 real promoter sequences that can already generate compact promoters with cell-type-selective activity in cell lines. The PhD project will take this from a cell-line prototype to a validated tool for retinal gene therapy.</w:t>
      </w:r>
    </w:p>
    <w:p w14:paraId="1DEFF10D" w14:textId="77777777" w:rsidR="00437F5F" w:rsidRDefault="00000000">
      <w:pPr>
        <w:pStyle w:val="Heading1"/>
        <w:spacing w:before="280" w:after="120"/>
      </w:pPr>
      <w:r>
        <w:rPr>
          <w:b/>
          <w:bCs/>
          <w:color w:val="1F4E79"/>
          <w:sz w:val="26"/>
          <w:szCs w:val="26"/>
        </w:rPr>
        <w:t>What the PhD student will do</w:t>
      </w:r>
    </w:p>
    <w:p w14:paraId="18FF5059" w14:textId="77777777" w:rsidR="00437F5F" w:rsidRDefault="00000000">
      <w:pPr>
        <w:pStyle w:val="ListParagraph"/>
        <w:numPr>
          <w:ilvl w:val="0"/>
          <w:numId w:val="2"/>
        </w:numPr>
        <w:spacing w:after="90" w:line="276" w:lineRule="auto"/>
      </w:pPr>
      <w:r>
        <w:rPr>
          <w:b/>
          <w:bCs/>
          <w:sz w:val="22"/>
          <w:szCs w:val="22"/>
        </w:rPr>
        <w:t xml:space="preserve">Year 1 — </w:t>
      </w:r>
      <w:r>
        <w:rPr>
          <w:sz w:val="22"/>
          <w:szCs w:val="22"/>
        </w:rPr>
        <w:t>Design and benchmark generative DNA models. Compare state-of-the-art architectures (autoregressive transformers, diffusion models, discrete flow-matching, and CNN-guided approaches) for generating short, strong, cell-type-specific promoters, training and testing them on large public datasets of promoter activity.</w:t>
      </w:r>
    </w:p>
    <w:p w14:paraId="15BA2AE5" w14:textId="77777777" w:rsidR="00437F5F" w:rsidRDefault="00000000">
      <w:pPr>
        <w:pStyle w:val="ListParagraph"/>
        <w:numPr>
          <w:ilvl w:val="0"/>
          <w:numId w:val="2"/>
        </w:numPr>
        <w:spacing w:after="90" w:line="276" w:lineRule="auto"/>
      </w:pPr>
      <w:r>
        <w:rPr>
          <w:b/>
          <w:bCs/>
          <w:sz w:val="22"/>
          <w:szCs w:val="22"/>
        </w:rPr>
        <w:t xml:space="preserve">Year 2 — </w:t>
      </w:r>
      <w:r>
        <w:rPr>
          <w:sz w:val="22"/>
          <w:szCs w:val="22"/>
        </w:rPr>
        <w:t>Specialise the model for the retina. Fine-tune the best-performing model on single-cell RNA-seq and ATAC-seq data from the human retina, so it learns to generate promoters that are switched on selectively in rods, cones, or retinal ganglion cells.</w:t>
      </w:r>
    </w:p>
    <w:p w14:paraId="220C4E63" w14:textId="77777777" w:rsidR="00437F5F" w:rsidRDefault="00000000">
      <w:pPr>
        <w:pStyle w:val="ListParagraph"/>
        <w:numPr>
          <w:ilvl w:val="0"/>
          <w:numId w:val="2"/>
        </w:numPr>
        <w:spacing w:after="90" w:line="276" w:lineRule="auto"/>
      </w:pPr>
      <w:r>
        <w:rPr>
          <w:b/>
          <w:bCs/>
          <w:sz w:val="22"/>
          <w:szCs w:val="22"/>
        </w:rPr>
        <w:t xml:space="preserve">Year 3 — </w:t>
      </w:r>
      <w:r>
        <w:rPr>
          <w:sz w:val="22"/>
          <w:szCs w:val="22"/>
        </w:rPr>
        <w:t>Test the designs in living tissue. Help evaluate the top AI-designed promoters in mouse and pig retina, packaged into AAV vectors and read out with a single-cell reporter assay, to see how well the computational predictions hold up in vivo.</w:t>
      </w:r>
    </w:p>
    <w:p w14:paraId="4D27F279" w14:textId="77777777" w:rsidR="00437F5F" w:rsidRDefault="00000000">
      <w:pPr>
        <w:pStyle w:val="Heading1"/>
        <w:spacing w:before="280" w:after="120"/>
      </w:pPr>
      <w:r>
        <w:rPr>
          <w:b/>
          <w:bCs/>
          <w:color w:val="1F4E79"/>
          <w:sz w:val="26"/>
          <w:szCs w:val="26"/>
        </w:rPr>
        <w:t>What you'll learn / what we're looking for</w:t>
      </w:r>
    </w:p>
    <w:p w14:paraId="108DE2E1" w14:textId="0FB8AF56" w:rsidR="00437F5F" w:rsidRDefault="00000000">
      <w:pPr>
        <w:spacing w:after="160" w:line="276" w:lineRule="auto"/>
      </w:pPr>
      <w:r>
        <w:rPr>
          <w:sz w:val="22"/>
          <w:szCs w:val="22"/>
        </w:rPr>
        <w:t>This is a genuinely interdisciplinary project bridging machine learning, genomics and gene therapy. You will develop skills in deep generative modelling (transformers, diffusion/flow-matching models), single-cell genomics data analysis, and depending on your interests and background direct exposure to AAV vector design and in vivo experiments through the group's wet-lab collaborators.</w:t>
      </w:r>
    </w:p>
    <w:p w14:paraId="2E4579D4" w14:textId="7EA17418" w:rsidR="00437F5F" w:rsidRDefault="00000000">
      <w:pPr>
        <w:pStyle w:val="ListParagraph"/>
        <w:numPr>
          <w:ilvl w:val="0"/>
          <w:numId w:val="2"/>
        </w:numPr>
        <w:spacing w:after="90" w:line="276" w:lineRule="auto"/>
      </w:pPr>
      <w:r>
        <w:rPr>
          <w:sz w:val="22"/>
          <w:szCs w:val="22"/>
        </w:rPr>
        <w:t xml:space="preserve">Students with a biology or bioengineering background: strong quantitative aptitude and willingness to learn deep learning frameworks (Python, PyTorch) </w:t>
      </w:r>
      <w:r w:rsidR="00D44775">
        <w:rPr>
          <w:sz w:val="22"/>
          <w:szCs w:val="22"/>
        </w:rPr>
        <w:t>and</w:t>
      </w:r>
      <w:r>
        <w:rPr>
          <w:sz w:val="22"/>
          <w:szCs w:val="22"/>
        </w:rPr>
        <w:t xml:space="preserve"> prior coding experience</w:t>
      </w:r>
      <w:r w:rsidR="00D44775">
        <w:rPr>
          <w:sz w:val="22"/>
          <w:szCs w:val="22"/>
        </w:rPr>
        <w:t>.</w:t>
      </w:r>
    </w:p>
    <w:p w14:paraId="3A5F744F" w14:textId="77777777" w:rsidR="00437F5F" w:rsidRDefault="00000000">
      <w:pPr>
        <w:pStyle w:val="ListParagraph"/>
        <w:numPr>
          <w:ilvl w:val="0"/>
          <w:numId w:val="2"/>
        </w:numPr>
        <w:spacing w:after="90" w:line="276" w:lineRule="auto"/>
      </w:pPr>
      <w:r>
        <w:rPr>
          <w:sz w:val="22"/>
          <w:szCs w:val="22"/>
        </w:rPr>
        <w:lastRenderedPageBreak/>
        <w:t>Students with a computer science background: interest in genomics and molecular biology is essential, since interpreting biological results correctly is central to the project.</w:t>
      </w:r>
    </w:p>
    <w:p w14:paraId="78A12EDA" w14:textId="77777777" w:rsidR="00437F5F" w:rsidRDefault="00000000">
      <w:pPr>
        <w:pStyle w:val="Heading1"/>
        <w:spacing w:before="280" w:after="120"/>
      </w:pPr>
      <w:r>
        <w:rPr>
          <w:b/>
          <w:bCs/>
          <w:color w:val="1F4E79"/>
          <w:sz w:val="26"/>
          <w:szCs w:val="26"/>
        </w:rPr>
        <w:t>Why this project</w:t>
      </w:r>
    </w:p>
    <w:p w14:paraId="5A8F5183" w14:textId="77777777" w:rsidR="00437F5F" w:rsidRDefault="00000000">
      <w:pPr>
        <w:spacing w:after="160" w:line="276" w:lineRule="auto"/>
      </w:pPr>
      <w:r>
        <w:rPr>
          <w:sz w:val="22"/>
          <w:szCs w:val="22"/>
        </w:rPr>
        <w:t>PROMetheus sits at the frontier of AI-driven biomolecular design, an area where generative models have already transformed protein engineering but have not yet delivered an equivalent breakthrough for DNA regulatory elements. The project offers a rare combination: cutting-edge generative modelling, access to real single-cell and MPRA datasets, and — through TIGEM's infrastructure and clinical gene-therapy programs — a direct path from a computational design to an experimentally validated, potentially clinically relevant promoter. Beyond retina, the workflow developed here is designed to generalise to any setting where closely related cell types need to be told apart, from immune subsets to disease-specific cell states.</w:t>
      </w:r>
    </w:p>
    <w:p w14:paraId="4736F338" w14:textId="77777777" w:rsidR="00437F5F" w:rsidRDefault="00000000">
      <w:pPr>
        <w:pStyle w:val="Heading1"/>
        <w:spacing w:before="280" w:after="120"/>
      </w:pPr>
      <w:r>
        <w:rPr>
          <w:b/>
          <w:bCs/>
          <w:color w:val="1F4E79"/>
          <w:sz w:val="26"/>
          <w:szCs w:val="26"/>
        </w:rPr>
        <w:t>Environment</w:t>
      </w:r>
    </w:p>
    <w:p w14:paraId="221D8303" w14:textId="307DA8AE" w:rsidR="00437F5F" w:rsidRDefault="00000000">
      <w:pPr>
        <w:spacing w:after="160" w:line="276" w:lineRule="auto"/>
      </w:pPr>
      <w:r>
        <w:rPr>
          <w:sz w:val="22"/>
          <w:szCs w:val="22"/>
        </w:rPr>
        <w:t>The student will be based at TIGEM (Pozzuoli, Naples), with access to the TIGEM Bioinformatics Core, High-Performance Computing cluster, NGS facility, and animal house, as well as an international collaboration</w:t>
      </w:r>
      <w:r w:rsidR="00D44775">
        <w:rPr>
          <w:sz w:val="22"/>
          <w:szCs w:val="22"/>
        </w:rPr>
        <w:t>s.</w:t>
      </w:r>
    </w:p>
    <w:sectPr w:rsidR="00437F5F">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92A8A"/>
    <w:multiLevelType w:val="hybridMultilevel"/>
    <w:tmpl w:val="32EACB04"/>
    <w:lvl w:ilvl="0" w:tplc="FC223232">
      <w:start w:val="1"/>
      <w:numFmt w:val="bullet"/>
      <w:lvlText w:val="•"/>
      <w:lvlJc w:val="left"/>
      <w:pPr>
        <w:ind w:left="360" w:hanging="260"/>
      </w:pPr>
    </w:lvl>
    <w:lvl w:ilvl="1" w:tplc="EDE4CEF0">
      <w:numFmt w:val="decimal"/>
      <w:lvlText w:val=""/>
      <w:lvlJc w:val="left"/>
    </w:lvl>
    <w:lvl w:ilvl="2" w:tplc="8676CB2A">
      <w:numFmt w:val="decimal"/>
      <w:lvlText w:val=""/>
      <w:lvlJc w:val="left"/>
    </w:lvl>
    <w:lvl w:ilvl="3" w:tplc="AAC85160">
      <w:numFmt w:val="decimal"/>
      <w:lvlText w:val=""/>
      <w:lvlJc w:val="left"/>
    </w:lvl>
    <w:lvl w:ilvl="4" w:tplc="6096E252">
      <w:numFmt w:val="decimal"/>
      <w:lvlText w:val=""/>
      <w:lvlJc w:val="left"/>
    </w:lvl>
    <w:lvl w:ilvl="5" w:tplc="1AD25620">
      <w:numFmt w:val="decimal"/>
      <w:lvlText w:val=""/>
      <w:lvlJc w:val="left"/>
    </w:lvl>
    <w:lvl w:ilvl="6" w:tplc="908EFF74">
      <w:numFmt w:val="decimal"/>
      <w:lvlText w:val=""/>
      <w:lvlJc w:val="left"/>
    </w:lvl>
    <w:lvl w:ilvl="7" w:tplc="98E4DF32">
      <w:numFmt w:val="decimal"/>
      <w:lvlText w:val=""/>
      <w:lvlJc w:val="left"/>
    </w:lvl>
    <w:lvl w:ilvl="8" w:tplc="0FA21816">
      <w:numFmt w:val="decimal"/>
      <w:lvlText w:val=""/>
      <w:lvlJc w:val="left"/>
    </w:lvl>
  </w:abstractNum>
  <w:abstractNum w:abstractNumId="1" w15:restartNumberingAfterBreak="0">
    <w:nsid w:val="5C8F34DB"/>
    <w:multiLevelType w:val="hybridMultilevel"/>
    <w:tmpl w:val="E054A72E"/>
    <w:lvl w:ilvl="0" w:tplc="1D50CDD2">
      <w:start w:val="1"/>
      <w:numFmt w:val="bullet"/>
      <w:lvlText w:val="●"/>
      <w:lvlJc w:val="left"/>
      <w:pPr>
        <w:ind w:left="720" w:hanging="360"/>
      </w:pPr>
    </w:lvl>
    <w:lvl w:ilvl="1" w:tplc="9FAE6EB2">
      <w:start w:val="1"/>
      <w:numFmt w:val="bullet"/>
      <w:lvlText w:val="○"/>
      <w:lvlJc w:val="left"/>
      <w:pPr>
        <w:ind w:left="1440" w:hanging="360"/>
      </w:pPr>
    </w:lvl>
    <w:lvl w:ilvl="2" w:tplc="FF1A1808">
      <w:start w:val="1"/>
      <w:numFmt w:val="bullet"/>
      <w:lvlText w:val="■"/>
      <w:lvlJc w:val="left"/>
      <w:pPr>
        <w:ind w:left="2160" w:hanging="360"/>
      </w:pPr>
    </w:lvl>
    <w:lvl w:ilvl="3" w:tplc="2BD022CE">
      <w:start w:val="1"/>
      <w:numFmt w:val="bullet"/>
      <w:lvlText w:val="●"/>
      <w:lvlJc w:val="left"/>
      <w:pPr>
        <w:ind w:left="2880" w:hanging="360"/>
      </w:pPr>
    </w:lvl>
    <w:lvl w:ilvl="4" w:tplc="85708048">
      <w:start w:val="1"/>
      <w:numFmt w:val="bullet"/>
      <w:lvlText w:val="○"/>
      <w:lvlJc w:val="left"/>
      <w:pPr>
        <w:ind w:left="3600" w:hanging="360"/>
      </w:pPr>
    </w:lvl>
    <w:lvl w:ilvl="5" w:tplc="C5B68D86">
      <w:start w:val="1"/>
      <w:numFmt w:val="bullet"/>
      <w:lvlText w:val="■"/>
      <w:lvlJc w:val="left"/>
      <w:pPr>
        <w:ind w:left="4320" w:hanging="360"/>
      </w:pPr>
    </w:lvl>
    <w:lvl w:ilvl="6" w:tplc="B3F8BE16">
      <w:start w:val="1"/>
      <w:numFmt w:val="bullet"/>
      <w:lvlText w:val="●"/>
      <w:lvlJc w:val="left"/>
      <w:pPr>
        <w:ind w:left="5040" w:hanging="360"/>
      </w:pPr>
    </w:lvl>
    <w:lvl w:ilvl="7" w:tplc="F8C8DB0A">
      <w:start w:val="1"/>
      <w:numFmt w:val="bullet"/>
      <w:lvlText w:val="●"/>
      <w:lvlJc w:val="left"/>
      <w:pPr>
        <w:ind w:left="5760" w:hanging="360"/>
      </w:pPr>
    </w:lvl>
    <w:lvl w:ilvl="8" w:tplc="930A49AC">
      <w:start w:val="1"/>
      <w:numFmt w:val="bullet"/>
      <w:lvlText w:val="●"/>
      <w:lvlJc w:val="left"/>
      <w:pPr>
        <w:ind w:left="6480" w:hanging="360"/>
      </w:pPr>
    </w:lvl>
  </w:abstractNum>
  <w:num w:numId="1" w16cid:durableId="326443195">
    <w:abstractNumId w:val="1"/>
    <w:lvlOverride w:ilvl="0">
      <w:startOverride w:val="1"/>
    </w:lvlOverride>
  </w:num>
  <w:num w:numId="2" w16cid:durableId="5435183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5F"/>
    <w:rsid w:val="00437F5F"/>
    <w:rsid w:val="00D44775"/>
    <w:rsid w:val="00FA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8D5E"/>
  <w15:docId w15:val="{211CF272-4ED3-4531-9649-6B97AAE5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4D2E21C8246C4F90B12B8BCEFD7BBB" ma:contentTypeVersion="8" ma:contentTypeDescription="Creare un nuovo documento." ma:contentTypeScope="" ma:versionID="b487d2d03ed0a89e601a33d5dfe34b5a">
  <xsd:schema xmlns:xsd="http://www.w3.org/2001/XMLSchema" xmlns:xs="http://www.w3.org/2001/XMLSchema" xmlns:p="http://schemas.microsoft.com/office/2006/metadata/properties" xmlns:ns2="54cc9add-558c-4b84-8354-2b9beab7b7db" targetNamespace="http://schemas.microsoft.com/office/2006/metadata/properties" ma:root="true" ma:fieldsID="60d9a32abc5c6ccf7005d3b2effb2f15" ns2:_="">
    <xsd:import namespace="54cc9add-558c-4b84-8354-2b9beab7b7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9add-558c-4b84-8354-2b9beab7b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03BF7-71CD-49B3-AAA5-B367E5D290AD}"/>
</file>

<file path=customXml/itemProps2.xml><?xml version="1.0" encoding="utf-8"?>
<ds:datastoreItem xmlns:ds="http://schemas.openxmlformats.org/officeDocument/2006/customXml" ds:itemID="{F4539EC5-3521-420B-89AF-B6787D8F923E}"/>
</file>

<file path=customXml/itemProps3.xml><?xml version="1.0" encoding="utf-8"?>
<ds:datastoreItem xmlns:ds="http://schemas.openxmlformats.org/officeDocument/2006/customXml" ds:itemID="{8E157AC3-1D39-4BE3-B096-D6AF89378074}"/>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3667</Characters>
  <Application>Microsoft Office Word</Application>
  <DocSecurity>0</DocSecurity>
  <Lines>57</Lines>
  <Paragraphs>28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Diego di Bernardo</cp:lastModifiedBy>
  <cp:revision>2</cp:revision>
  <dcterms:created xsi:type="dcterms:W3CDTF">2026-07-01T07:51:00Z</dcterms:created>
  <dcterms:modified xsi:type="dcterms:W3CDTF">2026-07-01T07:57:00Z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0x010100A14D2E21C8246C4F90B12B8BCEFD7BBB</vt:lpwstr>
  </property>
</Properties>
</file>