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:rsidR="002D111E" w:rsidRDefault="00000000" w14:paraId="051AF14A" w14:textId="77777777">
      <w:pPr>
        <w:spacing w:after="120"/>
        <w:jc w:val="center"/>
      </w:pPr>
      <w:r>
        <w:rPr>
          <w:b/>
          <w:bCs/>
          <w:color w:val="000000"/>
          <w:sz w:val="30"/>
          <w:szCs w:val="30"/>
        </w:rPr>
        <w:t>Decoding the Dark Spliceosome: A Computational and Quantitative Framework to Discover and Functionally Classify Pathogenic snRNA Variants in Rare Genetic Diseases</w:t>
      </w:r>
    </w:p>
    <w:p w:rsidR="002D111E" w:rsidRDefault="00000000" w14:paraId="75A76A3D" w14:textId="77777777">
      <w:pPr>
        <w:pBdr>
          <w:bottom w:val="single" w:color="2E5496" w:sz="6" w:space="4"/>
        </w:pBdr>
        <w:spacing w:before="280" w:after="120"/>
      </w:pPr>
      <w:r>
        <w:rPr>
          <w:b/>
          <w:bCs/>
          <w:color w:val="1F3864"/>
          <w:sz w:val="26"/>
          <w:szCs w:val="26"/>
        </w:rPr>
        <w:t>Project Description</w:t>
      </w:r>
    </w:p>
    <w:p w:rsidR="002D111E" w:rsidRDefault="00000000" w14:paraId="32A39581" w14:textId="77777777">
      <w:pPr>
        <w:spacing w:after="160" w:line="276" w:lineRule="auto"/>
        <w:jc w:val="both"/>
      </w:pPr>
      <w:r>
        <w:t xml:space="preserve">Despite the success of whole-exome and whole-genome sequencing (WGS), 30–50% of patients with a suspected rare genetic disease end their diagnostic journey without a molecular cause. A large fraction of this missing heritability is thought to hide in the non-coding genome, and one class of non-coding genes has remained almost completely invisible to standard diagnostic pipelines: the </w:t>
      </w:r>
      <w:r>
        <w:rPr>
          <w:b/>
          <w:bCs/>
        </w:rPr>
        <w:t>small nuclear RNA (snRNA) genes</w:t>
      </w:r>
      <w:r>
        <w:t xml:space="preserve"> that constitute the catalytic core of the spliceosome. These genes are short (~100–200 nt), highly repetitive and present in dozens of near-identical paralogs and pseudogenes, so conventional short-read variant callers systematically discard or misassign their reads. Between 2024 and 2026, a remarkable series of studies revealed that de novo and biallelic variants in spliceosomal snRNA genes (RNU4-2/ReNU syndrome, RNU2-2, RNU5B-1, RNU4ATAC and RNU6 paralogs) are among the most frequent monogenic causes of neurodevelopmental disorders and epilepsy, and — most recently — of autosomal-dominant retinitis pigmentosa. Crucially, every one of these discoveries was made within a single, pre-selected disease cohort. No study has yet asked, in a disease-agnostic way, how broadly snRNA variants contribute to human disease.</w:t>
      </w:r>
    </w:p>
    <w:p w:rsidR="002D111E" w:rsidRDefault="00000000" w14:paraId="48AB4C8E" w14:textId="77777777">
      <w:pPr>
        <w:spacing w:after="160" w:line="276" w:lineRule="auto"/>
        <w:jc w:val="both"/>
      </w:pPr>
      <w:r>
        <w:t xml:space="preserve">This project addresses two open questions at once: </w:t>
      </w:r>
      <w:r>
        <w:rPr>
          <w:b/>
          <w:bCs/>
        </w:rPr>
        <w:t>(i)</w:t>
      </w:r>
      <w:r>
        <w:t xml:space="preserve"> how widespread are pathogenic snRNA variants across the full, unselected spectrum of undiagnosed rare disease; and </w:t>
      </w:r>
      <w:r>
        <w:rPr>
          <w:b/>
          <w:bCs/>
        </w:rPr>
        <w:t>(ii)</w:t>
      </w:r>
      <w:r>
        <w:t xml:space="preserve"> for any given variant, how can we determine — both computationally and experimentally — whether it behaves as a </w:t>
      </w:r>
      <w:r>
        <w:rPr>
          <w:i/>
          <w:iCs/>
        </w:rPr>
        <w:t>dominant-negative</w:t>
      </w:r>
      <w:r>
        <w:t xml:space="preserve"> molecule that is incorporated into the spliceosome and poisons its catalysis, or as a simple </w:t>
      </w:r>
      <w:r>
        <w:rPr>
          <w:i/>
          <w:iCs/>
        </w:rPr>
        <w:t>loss-of-function (null)</w:t>
      </w:r>
      <w:r>
        <w:t xml:space="preserve"> allele. This distinction is not academic: it governs clinical variant interpretation and dictates the choice between allele-specific antisense-oligonucleotide silencing and gene-supplementation therapy.</w:t>
      </w:r>
    </w:p>
    <w:p w:rsidR="002D111E" w:rsidRDefault="00000000" w14:paraId="6EA4C37E" w14:textId="77777777">
      <w:pPr>
        <w:spacing w:after="160" w:line="276" w:lineRule="auto"/>
        <w:jc w:val="both"/>
      </w:pPr>
      <w:r>
        <w:t>The doctoral project is organised around three integrated objectives:</w:t>
      </w:r>
    </w:p>
    <w:p w:rsidR="002D111E" w:rsidRDefault="00000000" w14:paraId="41ECA5CB" w14:textId="77777777">
      <w:pPr>
        <w:pStyle w:val="Paragrafoelenco"/>
        <w:numPr>
          <w:ilvl w:val="0"/>
          <w:numId w:val="2"/>
        </w:numPr>
        <w:spacing w:after="100" w:line="276" w:lineRule="auto"/>
        <w:jc w:val="both"/>
      </w:pPr>
      <w:r>
        <w:rPr>
          <w:b/>
          <w:bCs/>
        </w:rPr>
        <w:t xml:space="preserve">Disease-agnostic computational discovery. </w:t>
      </w:r>
      <w:r>
        <w:t>Develop and benchmark a dedicated, paralog-aware variant-calling pipeline (paralog-resolved alignment with mapping-quality filtering, copy-number-aware calling calibrated per locus, and structural annotation that maps each candidate onto cryo-EM spliceosome models) and apply it, without disease pre-selection, to a large cohort of undiagnosed patients. Long-read (Oxford Nanopore) amplicon data resolve the most duplicated loci; the pipeline is validated against a curated set of ~100 known pathogenic variants, targeting &gt;95% sensitivity.</w:t>
      </w:r>
    </w:p>
    <w:p w:rsidR="002D111E" w:rsidRDefault="00000000" w14:paraId="2EA141AD" w14:textId="77777777">
      <w:pPr>
        <w:pStyle w:val="Paragrafoelenco"/>
        <w:numPr>
          <w:ilvl w:val="0"/>
          <w:numId w:val="2"/>
        </w:numPr>
        <w:spacing w:after="100" w:line="276" w:lineRule="auto"/>
        <w:jc w:val="both"/>
      </w:pPr>
      <w:r>
        <w:rPr>
          <w:b/>
          <w:bCs/>
        </w:rPr>
        <w:t xml:space="preserve">Quantitative functional classification. </w:t>
      </w:r>
      <w:r>
        <w:t>Over-express wild-type and mutant snRNAs in cells that retain their full endogenous complement and quantify transcriptome-wide splicing by ribo-depleted RNA-seq with PSI/ΔPSI analysis (rMATS-turbo, FRASER2, LeafCutter, SUPPA2). The mutant-versus-wild-type-overexpression contrast isolates genuine dominant-negative effects and yields a quantitative “dominant-negative score” that is correlated against patient transcriptomes.</w:t>
      </w:r>
    </w:p>
    <w:p w:rsidR="002D111E" w:rsidRDefault="00000000" w14:paraId="7B615705" w14:textId="77777777">
      <w:pPr>
        <w:pStyle w:val="Paragrafoelenco"/>
        <w:numPr>
          <w:ilvl w:val="0"/>
          <w:numId w:val="2"/>
        </w:numPr>
        <w:spacing w:after="160" w:line="276" w:lineRule="auto"/>
        <w:jc w:val="both"/>
      </w:pPr>
      <w:r>
        <w:rPr>
          <w:b/>
          <w:bCs/>
        </w:rPr>
        <w:t xml:space="preserve">Mechanistic dissection and a reporter for clinical triage. </w:t>
      </w:r>
      <w:r>
        <w:t xml:space="preserve">Resolve the affected step of the splicing cycle through branch-site usage analysis and quantitative snRNP-assembly proteomics, and build a fluorescent dual-reporter (GFP/mCherry) minigene </w:t>
      </w:r>
      <w:r>
        <w:lastRenderedPageBreak/>
        <w:t>assay for rapid, single-cell classification of variants of uncertain significance (VUS) — a scalable tool the field urgently needs.</w:t>
      </w:r>
    </w:p>
    <w:p w:rsidR="002D111E" w:rsidRDefault="00000000" w14:paraId="60545E77" w14:textId="77777777">
      <w:pPr>
        <w:spacing w:after="160" w:line="276" w:lineRule="auto"/>
        <w:jc w:val="both"/>
      </w:pPr>
      <w:r>
        <w:t xml:space="preserve">The successful candidate will be trained at the interface of </w:t>
      </w:r>
      <w:r>
        <w:rPr>
          <w:b/>
          <w:bCs/>
        </w:rPr>
        <w:t>computational genomics, quantitative transcriptomics and functional RNA biology</w:t>
      </w:r>
      <w:r>
        <w:t>, working with state-of-the-art WGS, long-read and Illumina NovaSeq data within an established clinical–academic network that provides immediate access to patient cohorts, biological samples and sequencing infrastructure. The expected deliverables — an open, paralog-aware variant-calling pipeline, the first disease-agnostic catalogue of pathogenic snRNA variants, a quantitative variant-classification framework, and a reporter platform for VUS triage — directly address an unmet diagnostic and therapeutic need shared across many rare diseases.</w:t>
      </w:r>
    </w:p>
    <w:p w:rsidR="002D111E" w:rsidRDefault="00000000" w14:paraId="1FB8DA9E" w14:textId="77777777">
      <w:pPr>
        <w:pBdr>
          <w:bottom w:val="single" w:color="2E5496" w:sz="6" w:space="4"/>
        </w:pBdr>
        <w:spacing w:before="280" w:after="120"/>
      </w:pPr>
      <w:r>
        <w:rPr>
          <w:b/>
          <w:bCs/>
          <w:color w:val="1F3864"/>
          <w:sz w:val="26"/>
          <w:szCs w:val="26"/>
        </w:rPr>
        <w:t>Prospective Students</w:t>
      </w:r>
    </w:p>
    <w:p w:rsidR="002D111E" w:rsidRDefault="00000000" w14:paraId="11A79BA5" w14:textId="77777777">
      <w:pPr>
        <w:spacing w:after="160" w:line="276" w:lineRule="auto"/>
        <w:jc w:val="both"/>
      </w:pPr>
      <w:r>
        <w:t>We welcome motivated candidates with a background in bioinformatics, computational biology, computer science, statistics, genomics, biotechnology, molecular biology or a related quantitative discipline. Familiarity with a scripting language (Python and/or R), command-line/Linux environments and the analysis of next-generation sequencing data is highly desirable, together with a genuine interest in RNA biology, splicing and human genetics. The project is primarily computational, but it offers ample opportunity to engage with wet-lab functional validation (molecular cloning, cellular models, RNA-seq, reporter assays) for candidates who wish to work across both domains.</w:t>
      </w:r>
    </w:p>
    <w:p w:rsidR="002D111E" w:rsidRDefault="00000000" w14:paraId="1B623232" w14:textId="77777777">
      <w:pPr>
        <w:pBdr>
          <w:bottom w:val="single" w:color="2E5496" w:sz="6" w:space="4"/>
        </w:pBdr>
        <w:spacing w:before="280" w:after="120"/>
      </w:pPr>
      <w:r>
        <w:rPr>
          <w:b/>
          <w:bCs/>
          <w:color w:val="1F3864"/>
          <w:sz w:val="26"/>
          <w:szCs w:val="26"/>
        </w:rPr>
        <w:t>Selected References</w:t>
      </w:r>
    </w:p>
    <w:p w:rsidR="002D111E" w:rsidRDefault="00000000" w14:paraId="212C61C9" w14:textId="77777777">
      <w:pPr>
        <w:pStyle w:val="Paragrafoelenco"/>
        <w:numPr>
          <w:ilvl w:val="0"/>
          <w:numId w:val="3"/>
        </w:numPr>
        <w:spacing w:after="60" w:line="260" w:lineRule="auto"/>
        <w:jc w:val="both"/>
      </w:pPr>
      <w:r>
        <w:rPr>
          <w:sz w:val="20"/>
          <w:szCs w:val="20"/>
        </w:rPr>
        <w:t>Chen Y, et al. De novo variants in the RNU4-2 snRNA cause a frequent neurodevelopmental syndrome. Nature 632, 832–840 (2024).</w:t>
      </w:r>
    </w:p>
    <w:p w:rsidR="002D111E" w:rsidRDefault="00000000" w14:paraId="3EB029A5" w14:textId="77777777">
      <w:pPr>
        <w:pStyle w:val="Paragrafoelenco"/>
        <w:numPr>
          <w:ilvl w:val="0"/>
          <w:numId w:val="3"/>
        </w:numPr>
        <w:spacing w:after="60" w:line="260" w:lineRule="auto"/>
        <w:jc w:val="both"/>
      </w:pPr>
      <w:r>
        <w:rPr>
          <w:sz w:val="20"/>
          <w:szCs w:val="20"/>
        </w:rPr>
        <w:t>Greene D, et al. Mutations in the U4 snRNA gene RNU4-2 cause one of the most prevalent monogenic neurodevelopmental disorders. Nature Medicine 30, 2165–2169 (2024).</w:t>
      </w:r>
    </w:p>
    <w:p w:rsidR="002D111E" w:rsidRDefault="00000000" w14:paraId="073A7FAD" w14:textId="77777777">
      <w:pPr>
        <w:pStyle w:val="Paragrafoelenco"/>
        <w:numPr>
          <w:ilvl w:val="0"/>
          <w:numId w:val="3"/>
        </w:numPr>
        <w:spacing w:after="60" w:line="260" w:lineRule="auto"/>
        <w:jc w:val="both"/>
      </w:pPr>
      <w:r>
        <w:rPr>
          <w:sz w:val="20"/>
          <w:szCs w:val="20"/>
        </w:rPr>
        <w:t>Nava C, et al. Dominant variants in major spliceosome U4 and U5 snRNA genes cause neurodevelopmental disorders through splicing disruption. Nature Genetics 57, 1374–1388 (2025).</w:t>
      </w:r>
    </w:p>
    <w:p w:rsidR="002D111E" w:rsidRDefault="00000000" w14:paraId="6A40D66E" w14:textId="77777777">
      <w:pPr>
        <w:pStyle w:val="Paragrafoelenco"/>
        <w:numPr>
          <w:ilvl w:val="0"/>
          <w:numId w:val="3"/>
        </w:numPr>
        <w:spacing w:after="60" w:line="260" w:lineRule="auto"/>
        <w:jc w:val="both"/>
      </w:pPr>
      <w:r>
        <w:rPr>
          <w:sz w:val="20"/>
          <w:szCs w:val="20"/>
        </w:rPr>
        <w:t>Nava C, et al. Systematic analysis of snRNA genes reveals frequent RNU2-2 variants in dominant and recessive developmental and epileptic encephalopathies. Nature Genetics (2026).</w:t>
      </w:r>
    </w:p>
    <w:p w:rsidR="002D111E" w:rsidRDefault="00000000" w14:paraId="546F17D8" w14:textId="77777777">
      <w:pPr>
        <w:pStyle w:val="Paragrafoelenco"/>
        <w:numPr>
          <w:ilvl w:val="0"/>
          <w:numId w:val="3"/>
        </w:numPr>
        <w:spacing w:after="60" w:line="260" w:lineRule="auto"/>
        <w:jc w:val="both"/>
      </w:pPr>
      <w:r>
        <w:rPr>
          <w:sz w:val="20"/>
          <w:szCs w:val="20"/>
        </w:rPr>
        <w:t>Greene D, et al. Biallelic variants in RNU2-2 cause the most prevalent known recessive neurodevelopmental disorder. Nature Genetics (2026).</w:t>
      </w:r>
    </w:p>
    <w:p w:rsidR="002D111E" w:rsidRDefault="00000000" w14:paraId="44F2AA29" w14:textId="77777777">
      <w:pPr>
        <w:pStyle w:val="Paragrafoelenco"/>
        <w:numPr>
          <w:ilvl w:val="0"/>
          <w:numId w:val="3"/>
        </w:numPr>
        <w:spacing w:after="60" w:line="260" w:lineRule="auto"/>
        <w:jc w:val="both"/>
      </w:pPr>
      <w:r>
        <w:rPr>
          <w:sz w:val="20"/>
          <w:szCs w:val="20"/>
        </w:rPr>
        <w:t>Quinodoz M, et al. Heterozygous variants in RNU6 genes cause retinitis pigmentosa. Nature Genetics (2026).</w:t>
      </w:r>
    </w:p>
    <w:p w:rsidR="002D111E" w:rsidRDefault="00000000" w14:paraId="2C76C7EE" w14:textId="77777777">
      <w:pPr>
        <w:pStyle w:val="Paragrafoelenco"/>
        <w:numPr>
          <w:ilvl w:val="0"/>
          <w:numId w:val="3"/>
        </w:numPr>
        <w:spacing w:after="60" w:line="260" w:lineRule="auto"/>
        <w:jc w:val="both"/>
      </w:pPr>
      <w:r>
        <w:rPr>
          <w:sz w:val="20"/>
          <w:szCs w:val="20"/>
        </w:rPr>
        <w:t>Cesana M, et al. A CLK3-HMGA2 alternative splicing axis impacts human hematopoietic stem cell molecular identity throughout development. Cell Stem Cell 22, 575–588.e7 (2018).</w:t>
      </w:r>
    </w:p>
    <w:p w:rsidR="002D111E" w:rsidRDefault="00000000" w14:paraId="63E0B18D" w14:textId="77777777">
      <w:pPr>
        <w:pStyle w:val="Paragrafoelenco"/>
        <w:numPr>
          <w:ilvl w:val="0"/>
          <w:numId w:val="3"/>
        </w:numPr>
        <w:spacing w:after="60" w:line="260" w:lineRule="auto"/>
        <w:jc w:val="both"/>
      </w:pPr>
      <w:r>
        <w:rPr>
          <w:sz w:val="20"/>
          <w:szCs w:val="20"/>
        </w:rPr>
        <w:t>Cesana M, et al. A long noncoding RNA controls muscle differentiation by functioning as a competing endogenous RNA. Cell 147, 358–369 (2011).</w:t>
      </w:r>
    </w:p>
    <w:sectPr w:rsidR="002D111E">
      <w:pgSz w:w="11906" w:h="16838" w:orient="portrait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88A1280"/>
    <w:multiLevelType w:val="hybridMultilevel"/>
    <w:tmpl w:val="B72EE188"/>
    <w:lvl w:ilvl="0" w:tplc="AF802EC8">
      <w:start w:val="1"/>
      <w:numFmt w:val="decimal"/>
      <w:lvlText w:val="%1."/>
      <w:lvlJc w:val="left"/>
      <w:pPr>
        <w:ind w:left="560" w:hanging="360"/>
      </w:pPr>
    </w:lvl>
    <w:lvl w:ilvl="1" w:tplc="245C4B4E">
      <w:numFmt w:val="decimal"/>
      <w:lvlText w:val=""/>
      <w:lvlJc w:val="left"/>
    </w:lvl>
    <w:lvl w:ilvl="2" w:tplc="6AE06B8E">
      <w:numFmt w:val="decimal"/>
      <w:lvlText w:val=""/>
      <w:lvlJc w:val="left"/>
    </w:lvl>
    <w:lvl w:ilvl="3" w:tplc="9BF6BA86">
      <w:numFmt w:val="decimal"/>
      <w:lvlText w:val=""/>
      <w:lvlJc w:val="left"/>
    </w:lvl>
    <w:lvl w:ilvl="4" w:tplc="369C5360">
      <w:numFmt w:val="decimal"/>
      <w:lvlText w:val=""/>
      <w:lvlJc w:val="left"/>
    </w:lvl>
    <w:lvl w:ilvl="5" w:tplc="EA9273BC">
      <w:numFmt w:val="decimal"/>
      <w:lvlText w:val=""/>
      <w:lvlJc w:val="left"/>
    </w:lvl>
    <w:lvl w:ilvl="6" w:tplc="8EEC5E96">
      <w:numFmt w:val="decimal"/>
      <w:lvlText w:val=""/>
      <w:lvlJc w:val="left"/>
    </w:lvl>
    <w:lvl w:ilvl="7" w:tplc="05EEEB4A">
      <w:numFmt w:val="decimal"/>
      <w:lvlText w:val=""/>
      <w:lvlJc w:val="left"/>
    </w:lvl>
    <w:lvl w:ilvl="8" w:tplc="32E4DD4A">
      <w:numFmt w:val="decimal"/>
      <w:lvlText w:val=""/>
      <w:lvlJc w:val="left"/>
    </w:lvl>
  </w:abstractNum>
  <w:abstractNum w:abstractNumId="1" w15:restartNumberingAfterBreak="0">
    <w:nsid w:val="655A6D85"/>
    <w:multiLevelType w:val="hybridMultilevel"/>
    <w:tmpl w:val="94CE459E"/>
    <w:lvl w:ilvl="0" w:tplc="299CBCC4">
      <w:start w:val="1"/>
      <w:numFmt w:val="bullet"/>
      <w:lvlText w:val="●"/>
      <w:lvlJc w:val="left"/>
      <w:pPr>
        <w:ind w:left="720" w:hanging="360"/>
      </w:pPr>
    </w:lvl>
    <w:lvl w:ilvl="1" w:tplc="3E1AC59E">
      <w:start w:val="1"/>
      <w:numFmt w:val="bullet"/>
      <w:lvlText w:val="○"/>
      <w:lvlJc w:val="left"/>
      <w:pPr>
        <w:ind w:left="1440" w:hanging="360"/>
      </w:pPr>
    </w:lvl>
    <w:lvl w:ilvl="2" w:tplc="EBB63BF0">
      <w:start w:val="1"/>
      <w:numFmt w:val="bullet"/>
      <w:lvlText w:val="■"/>
      <w:lvlJc w:val="left"/>
      <w:pPr>
        <w:ind w:left="2160" w:hanging="360"/>
      </w:pPr>
    </w:lvl>
    <w:lvl w:ilvl="3" w:tplc="B71AF1AC">
      <w:start w:val="1"/>
      <w:numFmt w:val="bullet"/>
      <w:lvlText w:val="●"/>
      <w:lvlJc w:val="left"/>
      <w:pPr>
        <w:ind w:left="2880" w:hanging="360"/>
      </w:pPr>
    </w:lvl>
    <w:lvl w:ilvl="4" w:tplc="F8962710">
      <w:start w:val="1"/>
      <w:numFmt w:val="bullet"/>
      <w:lvlText w:val="○"/>
      <w:lvlJc w:val="left"/>
      <w:pPr>
        <w:ind w:left="3600" w:hanging="360"/>
      </w:pPr>
    </w:lvl>
    <w:lvl w:ilvl="5" w:tplc="0406A3B2">
      <w:start w:val="1"/>
      <w:numFmt w:val="bullet"/>
      <w:lvlText w:val="■"/>
      <w:lvlJc w:val="left"/>
      <w:pPr>
        <w:ind w:left="4320" w:hanging="360"/>
      </w:pPr>
    </w:lvl>
    <w:lvl w:ilvl="6" w:tplc="4EC0ADB8">
      <w:start w:val="1"/>
      <w:numFmt w:val="bullet"/>
      <w:lvlText w:val="●"/>
      <w:lvlJc w:val="left"/>
      <w:pPr>
        <w:ind w:left="5040" w:hanging="360"/>
      </w:pPr>
    </w:lvl>
    <w:lvl w:ilvl="7" w:tplc="E9BC68BE">
      <w:start w:val="1"/>
      <w:numFmt w:val="bullet"/>
      <w:lvlText w:val="●"/>
      <w:lvlJc w:val="left"/>
      <w:pPr>
        <w:ind w:left="5760" w:hanging="360"/>
      </w:pPr>
    </w:lvl>
    <w:lvl w:ilvl="8" w:tplc="CD946464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7D6B4E41"/>
    <w:multiLevelType w:val="hybridMultilevel"/>
    <w:tmpl w:val="A3AC9DBC"/>
    <w:lvl w:ilvl="0" w:tplc="C0CA85C8">
      <w:start w:val="1"/>
      <w:numFmt w:val="decimal"/>
      <w:lvlText w:val="%1."/>
      <w:lvlJc w:val="left"/>
      <w:pPr>
        <w:ind w:left="560" w:hanging="360"/>
      </w:pPr>
    </w:lvl>
    <w:lvl w:ilvl="1" w:tplc="E474CCAE">
      <w:numFmt w:val="decimal"/>
      <w:lvlText w:val=""/>
      <w:lvlJc w:val="left"/>
    </w:lvl>
    <w:lvl w:ilvl="2" w:tplc="CC161060">
      <w:numFmt w:val="decimal"/>
      <w:lvlText w:val=""/>
      <w:lvlJc w:val="left"/>
    </w:lvl>
    <w:lvl w:ilvl="3" w:tplc="94FADB70">
      <w:numFmt w:val="decimal"/>
      <w:lvlText w:val=""/>
      <w:lvlJc w:val="left"/>
    </w:lvl>
    <w:lvl w:ilvl="4" w:tplc="E6DAF6A0">
      <w:numFmt w:val="decimal"/>
      <w:lvlText w:val=""/>
      <w:lvlJc w:val="left"/>
    </w:lvl>
    <w:lvl w:ilvl="5" w:tplc="125838F6">
      <w:numFmt w:val="decimal"/>
      <w:lvlText w:val=""/>
      <w:lvlJc w:val="left"/>
    </w:lvl>
    <w:lvl w:ilvl="6" w:tplc="C4F6990A">
      <w:numFmt w:val="decimal"/>
      <w:lvlText w:val=""/>
      <w:lvlJc w:val="left"/>
    </w:lvl>
    <w:lvl w:ilvl="7" w:tplc="A126C8C4">
      <w:numFmt w:val="decimal"/>
      <w:lvlText w:val=""/>
      <w:lvlJc w:val="left"/>
    </w:lvl>
    <w:lvl w:ilvl="8" w:tplc="B0EE10FA">
      <w:numFmt w:val="decimal"/>
      <w:lvlText w:val=""/>
      <w:lvlJc w:val="left"/>
    </w:lvl>
  </w:abstractNum>
  <w:num w:numId="1" w16cid:durableId="817453397">
    <w:abstractNumId w:val="1"/>
    <w:lvlOverride w:ilvl="0">
      <w:startOverride w:val="1"/>
    </w:lvlOverride>
  </w:num>
  <w:num w:numId="2" w16cid:durableId="936133730">
    <w:abstractNumId w:val="0"/>
    <w:lvlOverride w:ilvl="0">
      <w:startOverride w:val="1"/>
    </w:lvlOverride>
  </w:num>
  <w:num w:numId="3" w16cid:durableId="1933776933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9"/>
  <w:displayBackgroundShape/>
  <w:trackRevisions w:val="false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11E"/>
    <w:rsid w:val="002D111E"/>
    <w:rsid w:val="00A30B7D"/>
    <w:rsid w:val="00B0363F"/>
    <w:rsid w:val="00FB2258"/>
    <w:rsid w:val="5A5B6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EF78A12"/>
  <w15:docId w15:val="{39FADBBD-8423-7A4E-9FAA-6914FBE2A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hAnsi="Arial" w:eastAsia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styleId="Enfasigrassetto1" w:customStyle="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styleId="TestonotaapidipaginaCarattere" w:customStyle="1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styleId="TestonotadichiusuraCarattere" w:customStyle="1">
    <w:name w:val="Testo nota di chiusura Carattere"/>
    <w:link w:val="Testonotadichiusur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xmlns:thm15="http://schemas.microsoft.com/office/thememl/2012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D2E21C8246C4F90B12B8BCEFD7BBB" ma:contentTypeVersion="8" ma:contentTypeDescription="Create a new document." ma:contentTypeScope="" ma:versionID="49a0ea06d930d8028b6b18ea4a248823">
  <xsd:schema xmlns:xsd="http://www.w3.org/2001/XMLSchema" xmlns:xs="http://www.w3.org/2001/XMLSchema" xmlns:p="http://schemas.microsoft.com/office/2006/metadata/properties" xmlns:ns2="54cc9add-558c-4b84-8354-2b9beab7b7db" targetNamespace="http://schemas.microsoft.com/office/2006/metadata/properties" ma:root="true" ma:fieldsID="d7579c2c197fb32bb44d8d9a75a9e987" ns2:_="">
    <xsd:import namespace="54cc9add-558c-4b84-8354-2b9beab7b7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c9add-558c-4b84-8354-2b9beab7b7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7D541DD-55BA-4DA9-AD4E-09EEE30EDA3A}"/>
</file>

<file path=customXml/itemProps2.xml><?xml version="1.0" encoding="utf-8"?>
<ds:datastoreItem xmlns:ds="http://schemas.openxmlformats.org/officeDocument/2006/customXml" ds:itemID="{C5B65634-24CE-481F-B1FD-0188C3E08202}"/>
</file>

<file path=customXml/itemProps3.xml><?xml version="1.0" encoding="utf-8"?>
<ds:datastoreItem xmlns:ds="http://schemas.openxmlformats.org/officeDocument/2006/customXml" ds:itemID="{36957E07-D57F-413F-8DF2-56231EF7520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MARCELLA CESANA</cp:lastModifiedBy>
  <cp:revision>4</cp:revision>
  <dcterms:created xsi:type="dcterms:W3CDTF">2026-06-23T07:19:00Z</dcterms:created>
  <dcterms:modified xsi:type="dcterms:W3CDTF">2026-06-24T09:23:26Z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2026-06-23T07:19:37Z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dfcccf37-7cfd-46fe-842e-ff0ede0e6ed9</vt:lpwstr>
  </property>
  <property fmtid="{D5CDD505-2E9C-101B-9397-08002B2CF9AE}" pid="8" name="MSIP_Label_2ad0b24d-6422-44b0-b3de-abb3a9e8c81a_ContentBits">
    <vt:lpwstr>0</vt:lpwstr>
  </property>
  <property fmtid="{D5CDD505-2E9C-101B-9397-08002B2CF9AE}" pid="9" name="MSIP_Label_2ad0b24d-6422-44b0-b3de-abb3a9e8c81a_Tag">
    <vt:lpwstr>50, 3, 0, 1</vt:lpwstr>
  </property>
  <property fmtid="{D5CDD505-2E9C-101B-9397-08002B2CF9AE}" pid="10" name="ContentTypeId">
    <vt:lpwstr>0x010100A14D2E21C8246C4F90B12B8BCEFD7BBB</vt:lpwstr>
  </property>
</Properties>
</file>