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A4E7" w14:textId="2CDC0CE2" w:rsidR="003852BA" w:rsidRDefault="00000000">
      <w:pPr>
        <w:spacing w:after="240"/>
      </w:pPr>
      <w:r>
        <w:rPr>
          <w:b/>
          <w:bCs/>
          <w:sz w:val="28"/>
          <w:szCs w:val="28"/>
        </w:rPr>
        <w:t>Decoding the Functional Genome: An Integrated Genomics Platform Coupling Massively Parallel Assays with Single-Cell and Spatial Multi-Omics to Dissect Genotype–Phenotype Relationships</w:t>
      </w:r>
    </w:p>
    <w:p w14:paraId="50CAFA13" w14:textId="77777777" w:rsidR="003852BA" w:rsidRDefault="00000000">
      <w:pPr>
        <w:spacing w:before="240" w:after="120"/>
      </w:pPr>
      <w:r>
        <w:rPr>
          <w:b/>
          <w:bCs/>
          <w:sz w:val="24"/>
          <w:szCs w:val="24"/>
        </w:rPr>
        <w:t>Project Description</w:t>
      </w:r>
    </w:p>
    <w:p w14:paraId="15E881AC" w14:textId="5753E23D" w:rsidR="003852BA" w:rsidRDefault="00000000">
      <w:pPr>
        <w:spacing w:after="160" w:line="264" w:lineRule="auto"/>
        <w:jc w:val="both"/>
      </w:pPr>
      <w:r>
        <w:t>Genome and exome sequencing have transformed human genetics, yet the central challenge of the post-genomic era is no longer generating sequence but interpreting it. For every protein-altering variant of known consequence, sequencing studies return hundreds of variants of uncertain significance (VUS), and the overwhelming majority of disease- and trait-associated alleles identified by genome-wide association studies fall in non-coding, cis-regulatory DNA whose function cannot be read directly from sequence. Computational pathogenicity predictors remain, by consensus, among the weakest forms of evidence for clinical classification, precisely because the relationship between genotype and molecular phenotype is context-dependent: the same nucleotide change can be silent in one cell type and disruptive in another, and active in one chromatin environment yet inert in its native locus. Closing this genotype-to-phenotype gap at scale</w:t>
      </w:r>
      <w:r w:rsidR="00874267">
        <w:t>,</w:t>
      </w:r>
      <w:r>
        <w:t xml:space="preserve"> experimentally, quantitatively, and in the appropriate cellular context</w:t>
      </w:r>
      <w:r w:rsidR="00874267">
        <w:t>,</w:t>
      </w:r>
      <w:r>
        <w:t xml:space="preserve"> is one of the defining problems of contemporary functional genomics.</w:t>
      </w:r>
    </w:p>
    <w:p w14:paraId="13C36400" w14:textId="0A6D1C28" w:rsidR="003852BA" w:rsidRDefault="00000000">
      <w:pPr>
        <w:spacing w:after="160" w:line="264" w:lineRule="auto"/>
        <w:jc w:val="both"/>
      </w:pPr>
      <w:r>
        <w:t>Multiplexed assays of variant effect (MAVEs) now make it possible to measure the functional consequences of thousands to millions of sequence variants in a single experiment. Massively parallel reporter assays (MPRA) and their derivatives quantify the transcriptional activity of large libraries of regulatory elements and variants by coupling each candidate sequence to a barcoded reporter and deconvoluting activity by high-throughput sequencing. These largely episomal assays are unrivalled for throughput, but they interrogate sequences outside their native chromatin and genomic neighbourhood and therefore cannot fully recapitulate endogenous regulatory behaviour. Genome-integrated strategies</w:t>
      </w:r>
      <w:r w:rsidR="00874267">
        <w:t>,</w:t>
      </w:r>
      <w:r>
        <w:t xml:space="preserve"> in which designed libraries are inserted at defined chromosomal positions and assayed in situ</w:t>
      </w:r>
      <w:r w:rsidR="00874267">
        <w:t xml:space="preserve">, </w:t>
      </w:r>
      <w:r>
        <w:t>restore native context, at the cost of throughput. This project is built on the premise that the two approaches are complementary, and that integrating them with single-cell and spatial -omics readouts can convert variant-effect measurement from a one-dimensional activity score into a multi-layered, cell-type-resolved map of biological consequence.</w:t>
      </w:r>
    </w:p>
    <w:p w14:paraId="49E01689" w14:textId="54131164" w:rsidR="003852BA" w:rsidRDefault="00000000">
      <w:pPr>
        <w:spacing w:after="160" w:line="264" w:lineRule="auto"/>
        <w:jc w:val="both"/>
      </w:pPr>
      <w:r>
        <w:t xml:space="preserve">The doctoral project will develop and apply an integrated genomics platform that couples high-throughput episomal </w:t>
      </w:r>
      <w:r w:rsidR="00874267" w:rsidRPr="00874267">
        <w:rPr>
          <w:b/>
          <w:bCs/>
        </w:rPr>
        <w:t xml:space="preserve">Massive Parallel Reporter Assays </w:t>
      </w:r>
      <w:r w:rsidR="00874267">
        <w:t>(</w:t>
      </w:r>
      <w:r>
        <w:rPr>
          <w:b/>
          <w:bCs/>
        </w:rPr>
        <w:t>MPRA</w:t>
      </w:r>
      <w:r w:rsidR="00874267">
        <w:rPr>
          <w:b/>
          <w:bCs/>
        </w:rPr>
        <w:t>)</w:t>
      </w:r>
      <w:r>
        <w:t xml:space="preserve"> with genome-integrated </w:t>
      </w:r>
      <w:r>
        <w:rPr>
          <w:b/>
          <w:bCs/>
        </w:rPr>
        <w:t>Multiplexed Integrated Testing of Elements (MITE)</w:t>
      </w:r>
      <w:r w:rsidR="00874267">
        <w:t>,</w:t>
      </w:r>
      <w:r>
        <w:t xml:space="preserve"> site-specific, in-locus assays that report variant and element function within native chromatin</w:t>
      </w:r>
      <w:r w:rsidR="00874267">
        <w:t xml:space="preserve">, </w:t>
      </w:r>
      <w:r>
        <w:t>and reads both out using single-cell and spatial transcriptomic and epigenomic technologies. The unifying goal is to dissect, systematically and quantitatively, how genetic variation propagates from sequence to molecular phenotype to cellular phenotype, and to translate these measurements into predictive sequence-to-function models and a scalable framework for classifying variants of uncertain significance.</w:t>
      </w:r>
    </w:p>
    <w:p w14:paraId="34CD6B00" w14:textId="77777777" w:rsidR="003852BA" w:rsidRDefault="00000000">
      <w:pPr>
        <w:spacing w:after="160" w:line="264" w:lineRule="auto"/>
        <w:jc w:val="both"/>
      </w:pPr>
      <w:r>
        <w:t>The project is organised around three integrated objectives:</w:t>
      </w:r>
    </w:p>
    <w:p w14:paraId="478EA1B0" w14:textId="77777777" w:rsidR="003852BA" w:rsidRDefault="00000000">
      <w:pPr>
        <w:pStyle w:val="ListParagraph"/>
        <w:numPr>
          <w:ilvl w:val="0"/>
          <w:numId w:val="2"/>
        </w:numPr>
        <w:spacing w:after="140" w:line="264" w:lineRule="auto"/>
        <w:jc w:val="both"/>
      </w:pPr>
      <w:r>
        <w:rPr>
          <w:b/>
          <w:bCs/>
        </w:rPr>
        <w:t>Integrative design and massively parallel reporter screening.</w:t>
      </w:r>
      <w:r>
        <w:t xml:space="preserve"> Build a computational pipeline that nominates and prioritises candidate regulatory elements and variants by integrating whole-genome sequencing, epigenomic maps (ATAC-seq, ChIP-seq/CUT&amp;RUN, DNA methylation) and chromatin-conformation data, and use it to design tiled and saturation-mutagenesis MPRA libraries. Episomal MPRA — including lentiviral-integration formats where appropriate — will quantify allele-specific </w:t>
      </w:r>
      <w:r>
        <w:lastRenderedPageBreak/>
        <w:t>transcriptional activity across thousands of elements and variants, establishing a first-pass, high-throughput map of cis-regulatory function and allelic effect.</w:t>
      </w:r>
    </w:p>
    <w:p w14:paraId="45DDA9BD" w14:textId="77777777" w:rsidR="003852BA" w:rsidRDefault="00000000">
      <w:pPr>
        <w:pStyle w:val="ListParagraph"/>
        <w:numPr>
          <w:ilvl w:val="0"/>
          <w:numId w:val="2"/>
        </w:numPr>
        <w:spacing w:after="140" w:line="264" w:lineRule="auto"/>
        <w:jc w:val="both"/>
      </w:pPr>
      <w:r>
        <w:rPr>
          <w:b/>
          <w:bCs/>
        </w:rPr>
        <w:t>Genome-integrated, in-context functional testing (MITE).</w:t>
      </w:r>
      <w:r>
        <w:t xml:space="preserve"> Develop genome-integrated multiplexed assays in which designed element and variant libraries are inserted at defined genomic loci (e.g. via site-specific recombinases or CRISPR-mediated knock-in) and assayed within native chromatin in disease-relevant human cellular models, including iPSC-derived lineages. By comparing matched episomal and integrated measurements, the project will isolate genuine, context-dependent regulatory effects, distinguish dominant-negative from simple loss-of-function behaviour, and benchmark which variants require endogenous context for accurate functional classification.</w:t>
      </w:r>
    </w:p>
    <w:p w14:paraId="63C59877" w14:textId="77777777" w:rsidR="003852BA" w:rsidRDefault="00000000">
      <w:pPr>
        <w:pStyle w:val="ListParagraph"/>
        <w:numPr>
          <w:ilvl w:val="0"/>
          <w:numId w:val="2"/>
        </w:numPr>
        <w:spacing w:after="140" w:line="264" w:lineRule="auto"/>
        <w:jc w:val="both"/>
      </w:pPr>
      <w:r>
        <w:rPr>
          <w:b/>
          <w:bCs/>
        </w:rPr>
        <w:t>Single-cell and spatial multi-omics integration and modelling.</w:t>
      </w:r>
      <w:r>
        <w:t xml:space="preserve"> Deploy single-cell and spatial transcriptomic and epigenomic readouts to deconvolve variant and element effects across cell types, differentiation trajectories and tissue architecture, moving beyond bulk averages toward cell-type-resolved sequence–function relationships. By jointly modelling MPRA, MITE and single-cell/spatial data, the candidate will train quantitative genotype–phenotype maps and deliver an interpretable framework for prospective VUS triage — a tool of direct relevance to clinical variant interpretation and to the mechanistic study of gene regulation in development and disease.</w:t>
      </w:r>
    </w:p>
    <w:p w14:paraId="2E770125" w14:textId="4F1E1006" w:rsidR="003852BA" w:rsidRDefault="00000000">
      <w:pPr>
        <w:spacing w:after="160" w:line="264" w:lineRule="auto"/>
        <w:jc w:val="both"/>
      </w:pPr>
      <w:r>
        <w:t>The successful candidate will be trained at the interface of computational genomics, functional genomics and quantitative cell biology, working with state-of-the-art high-throughput sequencing, synthetic DNA-library design, genome engineering, and single-cell and spatial -omics within the Laboratory of Integrative Genomics and its established academic and clinical network, which provides access to disease cohorts, human cellular models and sequencing infrastructure. The expected deliverables</w:t>
      </w:r>
      <w:r w:rsidR="00874267">
        <w:t>,</w:t>
      </w:r>
      <w:r>
        <w:t xml:space="preserve"> an integrated computational design pipeline, paired episomal (MPRA) and genome-integrated (MITE) variant-effect platforms, a single-cell and spatial multi-omics analysis framework, and quantitative genotype–phenotype models for VUS classification</w:t>
      </w:r>
      <w:r w:rsidR="00874267">
        <w:t xml:space="preserve">, </w:t>
      </w:r>
      <w:r>
        <w:t>address an unmet need shared across human genetics: turning the flood of genomic variants into interpretable, context-aware biological knowledge.</w:t>
      </w:r>
    </w:p>
    <w:p w14:paraId="2673C235" w14:textId="77777777" w:rsidR="003852BA" w:rsidRDefault="00000000">
      <w:pPr>
        <w:spacing w:before="240" w:after="120"/>
      </w:pPr>
      <w:r>
        <w:rPr>
          <w:b/>
          <w:bCs/>
          <w:sz w:val="24"/>
          <w:szCs w:val="24"/>
        </w:rPr>
        <w:t>Prospective Students</w:t>
      </w:r>
    </w:p>
    <w:p w14:paraId="41EE35F5" w14:textId="77777777" w:rsidR="003852BA" w:rsidRDefault="00000000">
      <w:pPr>
        <w:spacing w:after="160" w:line="264" w:lineRule="auto"/>
        <w:jc w:val="both"/>
      </w:pPr>
      <w:r>
        <w:t>We welcome motivated candidates with a background in molecular biology, genomics, biotechnology, bioinformatics, computational biology, computer science, statistics or a related discipline. Hands-on experience with molecular cloning, cell culture (including iPSC and/or genome engineering) and next-generation sequencing is highly valued for wet-lab-oriented candidates, while familiarity with a scripting language (Python and/or R), command-line/Linux environments and the analysis of sequencing data is highly desirable for computationally oriented candidates. The project deliberately spans both domains: candidates wishing to work primarily at the bench, primarily in computation, or across both are equally encouraged to apply. A genuine interest in functional genomics, gene regulation and human genetics is essential.</w:t>
      </w:r>
    </w:p>
    <w:p w14:paraId="6A98D583" w14:textId="77777777" w:rsidR="003852BA" w:rsidRDefault="00000000">
      <w:pPr>
        <w:spacing w:before="240" w:after="120"/>
      </w:pPr>
      <w:r>
        <w:rPr>
          <w:b/>
          <w:bCs/>
          <w:sz w:val="24"/>
          <w:szCs w:val="24"/>
        </w:rPr>
        <w:t>Selected References</w:t>
      </w:r>
    </w:p>
    <w:p w14:paraId="0443F6CF" w14:textId="77777777" w:rsidR="003852BA" w:rsidRDefault="00000000">
      <w:pPr>
        <w:pStyle w:val="ListParagraph"/>
        <w:numPr>
          <w:ilvl w:val="0"/>
          <w:numId w:val="3"/>
        </w:numPr>
        <w:spacing w:after="80" w:line="252" w:lineRule="auto"/>
      </w:pPr>
      <w:r>
        <w:t>Tewhey R, et al. Direct identification of hundreds of expression-modulating variants using a multiplexed reporter assay. Cell 165, 1519–1529 (2016).</w:t>
      </w:r>
    </w:p>
    <w:p w14:paraId="3E600C1C" w14:textId="77777777" w:rsidR="003852BA" w:rsidRDefault="00000000">
      <w:pPr>
        <w:pStyle w:val="ListParagraph"/>
        <w:numPr>
          <w:ilvl w:val="0"/>
          <w:numId w:val="3"/>
        </w:numPr>
        <w:spacing w:after="80" w:line="252" w:lineRule="auto"/>
      </w:pPr>
      <w:r>
        <w:t>Kircher M, et al. Saturation mutagenesis of twenty disease-associated regulatory elements at single base-pair resolution. Nature Communications 10, 3583 (2019).</w:t>
      </w:r>
    </w:p>
    <w:p w14:paraId="05BD6EC2" w14:textId="77777777" w:rsidR="003852BA" w:rsidRDefault="00000000">
      <w:pPr>
        <w:pStyle w:val="ListParagraph"/>
        <w:numPr>
          <w:ilvl w:val="0"/>
          <w:numId w:val="3"/>
        </w:numPr>
        <w:spacing w:after="80" w:line="252" w:lineRule="auto"/>
      </w:pPr>
      <w:r>
        <w:lastRenderedPageBreak/>
        <w:t>Findlay GM, et al. Accurate classification of BRCA1 variants with saturation genome editing. Nature 562, 217–222 (2018).</w:t>
      </w:r>
    </w:p>
    <w:p w14:paraId="4F4EC11F" w14:textId="77777777" w:rsidR="003852BA" w:rsidRDefault="00000000">
      <w:pPr>
        <w:pStyle w:val="ListParagraph"/>
        <w:numPr>
          <w:ilvl w:val="0"/>
          <w:numId w:val="3"/>
        </w:numPr>
        <w:spacing w:after="80" w:line="252" w:lineRule="auto"/>
      </w:pPr>
      <w:r>
        <w:t>Gordon MG, et al. lentiMPRA and MPRAflow for high-throughput functional characterization of gene regulatory elements. Nature Protocols 15, 2387–2412 (2020).</w:t>
      </w:r>
    </w:p>
    <w:p w14:paraId="1B53A864" w14:textId="77777777" w:rsidR="003852BA" w:rsidRDefault="00000000">
      <w:pPr>
        <w:pStyle w:val="ListParagraph"/>
        <w:numPr>
          <w:ilvl w:val="0"/>
          <w:numId w:val="3"/>
        </w:numPr>
        <w:spacing w:after="80" w:line="252" w:lineRule="auto"/>
      </w:pPr>
      <w:r>
        <w:t>Fowler DM, Fields S. Deep mutational scanning: a new style of protein science. Nature Methods 11, 801–807 (2014).</w:t>
      </w:r>
    </w:p>
    <w:p w14:paraId="736FCDE8" w14:textId="77777777" w:rsidR="003852BA" w:rsidRDefault="00000000">
      <w:pPr>
        <w:pStyle w:val="ListParagraph"/>
        <w:numPr>
          <w:ilvl w:val="0"/>
          <w:numId w:val="3"/>
        </w:numPr>
        <w:spacing w:after="80" w:line="252" w:lineRule="auto"/>
      </w:pPr>
      <w:r>
        <w:t>Gasperini M, Starita L, Shendure J. The power of multiplexed functional analysis of genetic variants. Nature Protocols 11, 1782–1787 (2016).</w:t>
      </w:r>
    </w:p>
    <w:p w14:paraId="233B255C" w14:textId="77777777" w:rsidR="003852BA" w:rsidRDefault="00000000">
      <w:pPr>
        <w:pStyle w:val="ListParagraph"/>
        <w:numPr>
          <w:ilvl w:val="0"/>
          <w:numId w:val="3"/>
        </w:numPr>
        <w:spacing w:after="80" w:line="252" w:lineRule="auto"/>
      </w:pPr>
      <w:r>
        <w:t>Cacchiarelli D, et al. Integrative analyses of human reprogramming reveal dynamic nature of induced pluripotency. Cell 162, 412–424 (2015).</w:t>
      </w:r>
    </w:p>
    <w:p w14:paraId="2F14F970" w14:textId="77777777" w:rsidR="003852BA" w:rsidRDefault="00000000">
      <w:pPr>
        <w:pStyle w:val="ListParagraph"/>
        <w:numPr>
          <w:ilvl w:val="0"/>
          <w:numId w:val="3"/>
        </w:numPr>
        <w:spacing w:after="80" w:line="252" w:lineRule="auto"/>
      </w:pPr>
      <w:r>
        <w:t>Cacchiarelli D, et al. Aligning single-cell developmental and reprogramming trajectories identifies molecular determinants of myogenic reprogramming outcome. Cell Systems 7, 258–268 (2018).</w:t>
      </w:r>
    </w:p>
    <w:p w14:paraId="52B20E4F" w14:textId="77777777" w:rsidR="003852BA" w:rsidRDefault="00000000">
      <w:pPr>
        <w:pStyle w:val="ListParagraph"/>
        <w:numPr>
          <w:ilvl w:val="0"/>
          <w:numId w:val="3"/>
        </w:numPr>
        <w:spacing w:after="80" w:line="252" w:lineRule="auto"/>
      </w:pPr>
      <w:r>
        <w:t>Trapnell C, Cacchiarelli D, et al. The dynamics and regulators of cell fate decisions are revealed by pseudotemporal ordering of single cells. Nature Biotechnology 32, 381–386 (2014).</w:t>
      </w:r>
    </w:p>
    <w:sectPr w:rsidR="003852B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498A"/>
    <w:multiLevelType w:val="hybridMultilevel"/>
    <w:tmpl w:val="FE188370"/>
    <w:lvl w:ilvl="0" w:tplc="BDFC098A">
      <w:start w:val="1"/>
      <w:numFmt w:val="bullet"/>
      <w:lvlText w:val="•"/>
      <w:lvlJc w:val="left"/>
      <w:pPr>
        <w:ind w:left="540" w:hanging="270"/>
      </w:pPr>
    </w:lvl>
    <w:lvl w:ilvl="1" w:tplc="539CDE78">
      <w:numFmt w:val="decimal"/>
      <w:lvlText w:val=""/>
      <w:lvlJc w:val="left"/>
    </w:lvl>
    <w:lvl w:ilvl="2" w:tplc="3DA09E9C">
      <w:numFmt w:val="decimal"/>
      <w:lvlText w:val=""/>
      <w:lvlJc w:val="left"/>
    </w:lvl>
    <w:lvl w:ilvl="3" w:tplc="48D4635E">
      <w:numFmt w:val="decimal"/>
      <w:lvlText w:val=""/>
      <w:lvlJc w:val="left"/>
    </w:lvl>
    <w:lvl w:ilvl="4" w:tplc="7B1A18DE">
      <w:numFmt w:val="decimal"/>
      <w:lvlText w:val=""/>
      <w:lvlJc w:val="left"/>
    </w:lvl>
    <w:lvl w:ilvl="5" w:tplc="5FAA592C">
      <w:numFmt w:val="decimal"/>
      <w:lvlText w:val=""/>
      <w:lvlJc w:val="left"/>
    </w:lvl>
    <w:lvl w:ilvl="6" w:tplc="53544010">
      <w:numFmt w:val="decimal"/>
      <w:lvlText w:val=""/>
      <w:lvlJc w:val="left"/>
    </w:lvl>
    <w:lvl w:ilvl="7" w:tplc="3B9426FE">
      <w:numFmt w:val="decimal"/>
      <w:lvlText w:val=""/>
      <w:lvlJc w:val="left"/>
    </w:lvl>
    <w:lvl w:ilvl="8" w:tplc="639A6C3C">
      <w:numFmt w:val="decimal"/>
      <w:lvlText w:val=""/>
      <w:lvlJc w:val="left"/>
    </w:lvl>
  </w:abstractNum>
  <w:abstractNum w:abstractNumId="1" w15:restartNumberingAfterBreak="0">
    <w:nsid w:val="6AEC35EC"/>
    <w:multiLevelType w:val="hybridMultilevel"/>
    <w:tmpl w:val="B1908A7E"/>
    <w:lvl w:ilvl="0" w:tplc="AD0ADA62">
      <w:start w:val="1"/>
      <w:numFmt w:val="bullet"/>
      <w:lvlText w:val="●"/>
      <w:lvlJc w:val="left"/>
      <w:pPr>
        <w:ind w:left="720" w:hanging="360"/>
      </w:pPr>
    </w:lvl>
    <w:lvl w:ilvl="1" w:tplc="65804964">
      <w:start w:val="1"/>
      <w:numFmt w:val="bullet"/>
      <w:lvlText w:val="○"/>
      <w:lvlJc w:val="left"/>
      <w:pPr>
        <w:ind w:left="1440" w:hanging="360"/>
      </w:pPr>
    </w:lvl>
    <w:lvl w:ilvl="2" w:tplc="EFF29750">
      <w:start w:val="1"/>
      <w:numFmt w:val="bullet"/>
      <w:lvlText w:val="■"/>
      <w:lvlJc w:val="left"/>
      <w:pPr>
        <w:ind w:left="2160" w:hanging="360"/>
      </w:pPr>
    </w:lvl>
    <w:lvl w:ilvl="3" w:tplc="584CC9B6">
      <w:start w:val="1"/>
      <w:numFmt w:val="bullet"/>
      <w:lvlText w:val="●"/>
      <w:lvlJc w:val="left"/>
      <w:pPr>
        <w:ind w:left="2880" w:hanging="360"/>
      </w:pPr>
    </w:lvl>
    <w:lvl w:ilvl="4" w:tplc="C4FEDC78">
      <w:start w:val="1"/>
      <w:numFmt w:val="bullet"/>
      <w:lvlText w:val="○"/>
      <w:lvlJc w:val="left"/>
      <w:pPr>
        <w:ind w:left="3600" w:hanging="360"/>
      </w:pPr>
    </w:lvl>
    <w:lvl w:ilvl="5" w:tplc="9C0618BE">
      <w:start w:val="1"/>
      <w:numFmt w:val="bullet"/>
      <w:lvlText w:val="■"/>
      <w:lvlJc w:val="left"/>
      <w:pPr>
        <w:ind w:left="4320" w:hanging="360"/>
      </w:pPr>
    </w:lvl>
    <w:lvl w:ilvl="6" w:tplc="8A520542">
      <w:start w:val="1"/>
      <w:numFmt w:val="bullet"/>
      <w:lvlText w:val="●"/>
      <w:lvlJc w:val="left"/>
      <w:pPr>
        <w:ind w:left="5040" w:hanging="360"/>
      </w:pPr>
    </w:lvl>
    <w:lvl w:ilvl="7" w:tplc="2FA2AD94">
      <w:start w:val="1"/>
      <w:numFmt w:val="bullet"/>
      <w:lvlText w:val="●"/>
      <w:lvlJc w:val="left"/>
      <w:pPr>
        <w:ind w:left="5760" w:hanging="360"/>
      </w:pPr>
    </w:lvl>
    <w:lvl w:ilvl="8" w:tplc="99E2D9FE">
      <w:start w:val="1"/>
      <w:numFmt w:val="bullet"/>
      <w:lvlText w:val="●"/>
      <w:lvlJc w:val="left"/>
      <w:pPr>
        <w:ind w:left="6480" w:hanging="360"/>
      </w:pPr>
    </w:lvl>
  </w:abstractNum>
  <w:abstractNum w:abstractNumId="2" w15:restartNumberingAfterBreak="0">
    <w:nsid w:val="7CE0776B"/>
    <w:multiLevelType w:val="hybridMultilevel"/>
    <w:tmpl w:val="103E9286"/>
    <w:lvl w:ilvl="0" w:tplc="A5F2DF58">
      <w:start w:val="1"/>
      <w:numFmt w:val="bullet"/>
      <w:lvlText w:val="•"/>
      <w:lvlJc w:val="left"/>
      <w:pPr>
        <w:ind w:left="540" w:hanging="270"/>
      </w:pPr>
    </w:lvl>
    <w:lvl w:ilvl="1" w:tplc="EFBE0960">
      <w:numFmt w:val="decimal"/>
      <w:lvlText w:val=""/>
      <w:lvlJc w:val="left"/>
    </w:lvl>
    <w:lvl w:ilvl="2" w:tplc="16984106">
      <w:numFmt w:val="decimal"/>
      <w:lvlText w:val=""/>
      <w:lvlJc w:val="left"/>
    </w:lvl>
    <w:lvl w:ilvl="3" w:tplc="CCFA12EA">
      <w:numFmt w:val="decimal"/>
      <w:lvlText w:val=""/>
      <w:lvlJc w:val="left"/>
    </w:lvl>
    <w:lvl w:ilvl="4" w:tplc="1B12FE66">
      <w:numFmt w:val="decimal"/>
      <w:lvlText w:val=""/>
      <w:lvlJc w:val="left"/>
    </w:lvl>
    <w:lvl w:ilvl="5" w:tplc="13ACEDB4">
      <w:numFmt w:val="decimal"/>
      <w:lvlText w:val=""/>
      <w:lvlJc w:val="left"/>
    </w:lvl>
    <w:lvl w:ilvl="6" w:tplc="D8E8E1A2">
      <w:numFmt w:val="decimal"/>
      <w:lvlText w:val=""/>
      <w:lvlJc w:val="left"/>
    </w:lvl>
    <w:lvl w:ilvl="7" w:tplc="83BC353E">
      <w:numFmt w:val="decimal"/>
      <w:lvlText w:val=""/>
      <w:lvlJc w:val="left"/>
    </w:lvl>
    <w:lvl w:ilvl="8" w:tplc="E5744A54">
      <w:numFmt w:val="decimal"/>
      <w:lvlText w:val=""/>
      <w:lvlJc w:val="left"/>
    </w:lvl>
  </w:abstractNum>
  <w:num w:numId="1" w16cid:durableId="382096819">
    <w:abstractNumId w:val="1"/>
    <w:lvlOverride w:ilvl="0">
      <w:startOverride w:val="1"/>
    </w:lvlOverride>
  </w:num>
  <w:num w:numId="2" w16cid:durableId="1369186819">
    <w:abstractNumId w:val="0"/>
    <w:lvlOverride w:ilvl="0">
      <w:startOverride w:val="1"/>
    </w:lvlOverride>
  </w:num>
  <w:num w:numId="3" w16cid:durableId="102271026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2BA"/>
    <w:rsid w:val="003852BA"/>
    <w:rsid w:val="006C58FB"/>
    <w:rsid w:val="00874267"/>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8495A99"/>
  <w15:docId w15:val="{3AFF404C-92A1-C34D-B7E4-A98985BE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4D2E21C8246C4F90B12B8BCEFD7BBB" ma:contentTypeVersion="8" ma:contentTypeDescription="Creare un nuovo documento." ma:contentTypeScope="" ma:versionID="b487d2d03ed0a89e601a33d5dfe34b5a">
  <xsd:schema xmlns:xsd="http://www.w3.org/2001/XMLSchema" xmlns:xs="http://www.w3.org/2001/XMLSchema" xmlns:p="http://schemas.microsoft.com/office/2006/metadata/properties" xmlns:ns2="54cc9add-558c-4b84-8354-2b9beab7b7db" targetNamespace="http://schemas.microsoft.com/office/2006/metadata/properties" ma:root="true" ma:fieldsID="60d9a32abc5c6ccf7005d3b2effb2f15"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68FCD-661D-42BD-805A-0D4896E9E1D1}"/>
</file>

<file path=customXml/itemProps2.xml><?xml version="1.0" encoding="utf-8"?>
<ds:datastoreItem xmlns:ds="http://schemas.openxmlformats.org/officeDocument/2006/customXml" ds:itemID="{EC8892FA-D474-43C3-9F0C-270215D1B01C}"/>
</file>

<file path=customXml/itemProps3.xml><?xml version="1.0" encoding="utf-8"?>
<ds:datastoreItem xmlns:ds="http://schemas.openxmlformats.org/officeDocument/2006/customXml" ds:itemID="{B2BDBE1A-5F04-4F43-BB39-C3AC5E33FB06}"/>
</file>

<file path=docProps/app.xml><?xml version="1.0" encoding="utf-8"?>
<Properties xmlns="http://schemas.openxmlformats.org/officeDocument/2006/extended-properties" xmlns:vt="http://schemas.openxmlformats.org/officeDocument/2006/docPropsVTypes">
  <Template>Normal.dotm</Template>
  <TotalTime>2</TotalTime>
  <Pages>3</Pages>
  <Words>1240</Words>
  <Characters>7074</Characters>
  <Application>Microsoft Office Word</Application>
  <DocSecurity>0</DocSecurity>
  <Lines>58</Lines>
  <Paragraphs>16</Paragraphs>
  <ScaleCrop>false</ScaleCrop>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Davide Cacchiarelli</cp:lastModifiedBy>
  <cp:revision>2</cp:revision>
  <dcterms:created xsi:type="dcterms:W3CDTF">2026-06-23T07:44:00Z</dcterms:created>
  <dcterms:modified xsi:type="dcterms:W3CDTF">2026-06-23T07:52:00Z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0x010100A14D2E21C8246C4F90B12B8BCEFD7BBB</vt:lpwstr>
  </property>
</Properties>
</file>