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9543D" w14:textId="5ADEA52D" w:rsidR="009226D0" w:rsidRDefault="00A6133A">
      <w:r w:rsidRPr="00A6133A">
        <w:rPr>
          <w:lang w:val="en-GB"/>
        </w:rPr>
        <w:t>Analysis and Prediction of Challenging Genetic Variants Using Artificial Intelligence-Based Approaches</w:t>
      </w:r>
      <w:r w:rsidRPr="00A6133A">
        <w:rPr>
          <w:lang w:val="en-GB"/>
        </w:rPr>
        <w:br/>
      </w:r>
      <w:r w:rsidRPr="00A6133A">
        <w:rPr>
          <w:lang w:val="en-GB"/>
        </w:rPr>
        <w:br/>
        <w:t>Introduction and Scientific Background</w:t>
      </w:r>
      <w:r w:rsidRPr="00A6133A">
        <w:rPr>
          <w:lang w:val="en-GB"/>
        </w:rPr>
        <w:br/>
        <w:t xml:space="preserve">Exome sequencing (ES) has been one of the primary tools for identifying disease-associated genetic variants for over a decade. Although coding regions represent only about 1% of the genome, they </w:t>
      </w:r>
      <w:proofErr w:type="spellStart"/>
      <w:r w:rsidRPr="00A6133A">
        <w:rPr>
          <w:lang w:val="en-GB"/>
        </w:rPr>
        <w:t>harbor</w:t>
      </w:r>
      <w:proofErr w:type="spellEnd"/>
      <w:r w:rsidRPr="00A6133A">
        <w:rPr>
          <w:lang w:val="en-GB"/>
        </w:rPr>
        <w:t xml:space="preserve"> approximately 85% of known pathogenic variants, making this approach highly effective in both clinical and research settings.</w:t>
      </w:r>
      <w:r w:rsidRPr="00A6133A">
        <w:rPr>
          <w:lang w:val="en-GB"/>
        </w:rPr>
        <w:br/>
        <w:t xml:space="preserve">However, exome analysis generates an enormous amount of data: on average, tens of thousands of variants are identified in </w:t>
      </w:r>
      <w:proofErr w:type="gramStart"/>
      <w:r w:rsidRPr="00A6133A">
        <w:rPr>
          <w:lang w:val="en-GB"/>
        </w:rPr>
        <w:t>each individual</w:t>
      </w:r>
      <w:proofErr w:type="gramEnd"/>
      <w:r w:rsidRPr="00A6133A">
        <w:rPr>
          <w:lang w:val="en-GB"/>
        </w:rPr>
        <w:t>. The main challenge is therefore to filter and interpret these variants in order to identify those that are truly responsible for the disease phenotype.</w:t>
      </w:r>
      <w:r w:rsidRPr="00A6133A">
        <w:rPr>
          <w:lang w:val="en-GB"/>
        </w:rPr>
        <w:br/>
        <w:t>Interpretation becomes even more complex in the case of missense variants, particularly when they:</w:t>
      </w:r>
      <w:r w:rsidRPr="00A6133A">
        <w:rPr>
          <w:lang w:val="en-GB"/>
        </w:rPr>
        <w:br/>
        <w:t>•    cause partial protein destabilization,</w:t>
      </w:r>
      <w:r w:rsidRPr="00A6133A">
        <w:rPr>
          <w:lang w:val="en-GB"/>
        </w:rPr>
        <w:br/>
        <w:t>•    do not fall into the loss-of-function (</w:t>
      </w:r>
      <w:proofErr w:type="spellStart"/>
      <w:r w:rsidRPr="00A6133A">
        <w:rPr>
          <w:lang w:val="en-GB"/>
        </w:rPr>
        <w:t>LoF</w:t>
      </w:r>
      <w:proofErr w:type="spellEnd"/>
      <w:r w:rsidRPr="00A6133A">
        <w:rPr>
          <w:lang w:val="en-GB"/>
        </w:rPr>
        <w:t>) category,</w:t>
      </w:r>
      <w:r w:rsidRPr="00A6133A">
        <w:rPr>
          <w:lang w:val="en-GB"/>
        </w:rPr>
        <w:br/>
        <w:t>•    but instead act as gain-of-function (</w:t>
      </w:r>
      <w:proofErr w:type="spellStart"/>
      <w:r w:rsidRPr="00A6133A">
        <w:rPr>
          <w:lang w:val="en-GB"/>
        </w:rPr>
        <w:t>GoF</w:t>
      </w:r>
      <w:proofErr w:type="spellEnd"/>
      <w:r w:rsidRPr="00A6133A">
        <w:rPr>
          <w:lang w:val="en-GB"/>
        </w:rPr>
        <w:t>) or dominant-negative (DN) variants.</w:t>
      </w:r>
      <w:r w:rsidRPr="00A6133A">
        <w:rPr>
          <w:lang w:val="en-GB"/>
        </w:rPr>
        <w:br/>
        <w:t>These latter categories represent a major challenge for current computational methods, which show reduced performance in their identification and classification.</w:t>
      </w:r>
      <w:r w:rsidRPr="00A6133A">
        <w:rPr>
          <w:lang w:val="en-GB"/>
        </w:rPr>
        <w:br/>
        <w:t>______</w:t>
      </w:r>
      <w:r w:rsidRPr="00A6133A">
        <w:rPr>
          <w:lang w:val="en-GB"/>
        </w:rPr>
        <w:br/>
        <w:t>Project Objectives</w:t>
      </w:r>
      <w:r w:rsidRPr="00A6133A">
        <w:rPr>
          <w:lang w:val="en-GB"/>
        </w:rPr>
        <w:br/>
        <w:t>This project aims to achieve the following objectives:</w:t>
      </w:r>
      <w:r w:rsidRPr="00A6133A">
        <w:rPr>
          <w:lang w:val="en-GB"/>
        </w:rPr>
        <w:br/>
        <w:t>1. Collection and curation of clinical and molecular cases</w:t>
      </w:r>
      <w:r w:rsidRPr="00A6133A">
        <w:rPr>
          <w:lang w:val="en-GB"/>
        </w:rPr>
        <w:br/>
        <w:t>To identify and compile a dataset of disease-associated genetic variants, with particular focus on:</w:t>
      </w:r>
      <w:r w:rsidRPr="00A6133A">
        <w:rPr>
          <w:lang w:val="en-GB"/>
        </w:rPr>
        <w:br/>
        <w:t>•    gain-of-function variants</w:t>
      </w:r>
      <w:r w:rsidRPr="00A6133A">
        <w:rPr>
          <w:lang w:val="en-GB"/>
        </w:rPr>
        <w:br/>
        <w:t>•    dominant-negative variants</w:t>
      </w:r>
      <w:r w:rsidRPr="00A6133A">
        <w:rPr>
          <w:lang w:val="en-GB"/>
        </w:rPr>
        <w:br/>
        <w:t>2. Structural and functional analysis of variants</w:t>
      </w:r>
      <w:r w:rsidRPr="00A6133A">
        <w:rPr>
          <w:lang w:val="en-GB"/>
        </w:rPr>
        <w:br/>
        <w:t>To investigate these variants in the context of:</w:t>
      </w:r>
      <w:r w:rsidRPr="00A6133A">
        <w:rPr>
          <w:lang w:val="en-GB"/>
        </w:rPr>
        <w:br/>
        <w:t>•    multimolecular (supramolecular) complexes</w:t>
      </w:r>
      <w:r w:rsidRPr="00A6133A">
        <w:rPr>
          <w:lang w:val="en-GB"/>
        </w:rPr>
        <w:br/>
        <w:t>•    protein–protein interactions</w:t>
      </w:r>
      <w:r w:rsidRPr="00A6133A">
        <w:rPr>
          <w:lang w:val="en-GB"/>
        </w:rPr>
        <w:br/>
        <w:t>This will allow a deeper understanding of the molecular mechanisms underlying pathogenicity.</w:t>
      </w:r>
      <w:r w:rsidRPr="00A6133A">
        <w:rPr>
          <w:lang w:val="en-GB"/>
        </w:rPr>
        <w:br/>
        <w:t>3. Evaluation of existing artificial intelligence tools</w:t>
      </w:r>
      <w:r w:rsidRPr="00A6133A">
        <w:rPr>
          <w:lang w:val="en-GB"/>
        </w:rPr>
        <w:br/>
        <w:t>To use currently available AI-driven tools for variant prioritization and prediction, with the aim of:</w:t>
      </w:r>
      <w:r w:rsidRPr="00A6133A">
        <w:rPr>
          <w:lang w:val="en-GB"/>
        </w:rPr>
        <w:br/>
        <w:t>•    assessing their accuracy in predicting challenging variants</w:t>
      </w:r>
      <w:r w:rsidRPr="00A6133A">
        <w:rPr>
          <w:lang w:val="en-GB"/>
        </w:rPr>
        <w:br/>
        <w:t>•    comparing their performance across different categories (</w:t>
      </w:r>
      <w:proofErr w:type="spellStart"/>
      <w:r w:rsidRPr="00A6133A">
        <w:rPr>
          <w:lang w:val="en-GB"/>
        </w:rPr>
        <w:t>LoF</w:t>
      </w:r>
      <w:proofErr w:type="spellEnd"/>
      <w:r w:rsidRPr="00A6133A">
        <w:rPr>
          <w:lang w:val="en-GB"/>
        </w:rPr>
        <w:t xml:space="preserve"> vs </w:t>
      </w:r>
      <w:proofErr w:type="spellStart"/>
      <w:r w:rsidRPr="00A6133A">
        <w:rPr>
          <w:lang w:val="en-GB"/>
        </w:rPr>
        <w:t>GoF</w:t>
      </w:r>
      <w:proofErr w:type="spellEnd"/>
      <w:r w:rsidRPr="00A6133A">
        <w:rPr>
          <w:lang w:val="en-GB"/>
        </w:rPr>
        <w:t xml:space="preserve"> vs DN)</w:t>
      </w:r>
      <w:r w:rsidRPr="00A6133A">
        <w:rPr>
          <w:lang w:val="en-GB"/>
        </w:rPr>
        <w:br/>
        <w:t>4. Development of new computational approaches</w:t>
      </w:r>
      <w:r w:rsidRPr="00A6133A">
        <w:rPr>
          <w:lang w:val="en-GB"/>
        </w:rPr>
        <w:br/>
        <w:t>As a final objective, to develop:</w:t>
      </w:r>
      <w:r w:rsidRPr="00A6133A">
        <w:rPr>
          <w:lang w:val="en-GB"/>
        </w:rPr>
        <w:br/>
        <w:t>•    new artificial intelligence-based algorithms and software</w:t>
      </w:r>
      <w:r w:rsidRPr="00A6133A">
        <w:rPr>
          <w:lang w:val="en-GB"/>
        </w:rPr>
        <w:br/>
        <w:t>•    models capable of improving the functional prediction of complex variants</w:t>
      </w:r>
      <w:r w:rsidRPr="00A6133A">
        <w:rPr>
          <w:lang w:val="en-GB"/>
        </w:rPr>
        <w:br/>
        <w:t>______</w:t>
      </w:r>
      <w:r w:rsidRPr="00A6133A">
        <w:rPr>
          <w:lang w:val="en-GB"/>
        </w:rPr>
        <w:br/>
        <w:t>Project Innovation</w:t>
      </w:r>
      <w:r w:rsidRPr="00A6133A">
        <w:rPr>
          <w:lang w:val="en-GB"/>
        </w:rPr>
        <w:br/>
        <w:t>This project presents several significant innovative aspects:</w:t>
      </w:r>
      <w:r w:rsidRPr="00A6133A">
        <w:rPr>
          <w:lang w:val="en-GB"/>
        </w:rPr>
        <w:br/>
        <w:t>•    Focus on challenging variants, often overlooked by standard tools</w:t>
      </w:r>
      <w:r w:rsidRPr="00A6133A">
        <w:rPr>
          <w:lang w:val="en-GB"/>
        </w:rPr>
        <w:br/>
        <w:t>•    Analysis in the context of supramolecular structures, still relatively underexplored</w:t>
      </w:r>
      <w:r w:rsidRPr="00A6133A">
        <w:rPr>
          <w:lang w:val="en-GB"/>
        </w:rPr>
        <w:br/>
        <w:t>•    Critical evaluation of current AI systems in clinical genomics</w:t>
      </w:r>
      <w:r w:rsidRPr="00A6133A">
        <w:rPr>
          <w:lang w:val="en-GB"/>
        </w:rPr>
        <w:br/>
        <w:t>______</w:t>
      </w:r>
      <w:r w:rsidRPr="00A6133A">
        <w:rPr>
          <w:lang w:val="en-GB"/>
        </w:rPr>
        <w:br/>
        <w:t>Expected Impact</w:t>
      </w:r>
      <w:r w:rsidRPr="00A6133A">
        <w:rPr>
          <w:lang w:val="en-GB"/>
        </w:rPr>
        <w:br/>
        <w:t>The expected outcomes include:</w:t>
      </w:r>
      <w:r w:rsidRPr="00A6133A">
        <w:rPr>
          <w:lang w:val="en-GB"/>
        </w:rPr>
        <w:br/>
        <w:t>•    Improved understanding of the molecular mechanisms of missense mutations</w:t>
      </w:r>
      <w:r w:rsidRPr="00A6133A">
        <w:rPr>
          <w:lang w:val="en-GB"/>
        </w:rPr>
        <w:br/>
        <w:t>•    Increased diagnostic accuracy in genetic disorders</w:t>
      </w:r>
      <w:r w:rsidRPr="00A6133A">
        <w:rPr>
          <w:lang w:val="en-GB"/>
        </w:rPr>
        <w:br/>
        <w:t>•    Development of new AI tools for clinical genomics</w:t>
      </w:r>
      <w:r w:rsidRPr="00A6133A">
        <w:rPr>
          <w:lang w:val="en-GB"/>
        </w:rPr>
        <w:br/>
      </w:r>
      <w:r w:rsidRPr="00A6133A">
        <w:rPr>
          <w:lang w:val="en-GB"/>
        </w:rPr>
        <w:lastRenderedPageBreak/>
        <w:t>Through an integrated approach combining structural biology, genomics, and artificial intelligence, this project aims to significantly enhance the interpretation of genetic variants and contribute to the advancement of precision medicine.</w:t>
      </w:r>
      <w:r w:rsidRPr="00A6133A">
        <w:rPr>
          <w:lang w:val="en-GB"/>
        </w:rPr>
        <w:br/>
      </w:r>
      <w:r w:rsidRPr="00A6133A">
        <w:rPr>
          <w:lang w:val="en-GB"/>
        </w:rPr>
        <w:br/>
      </w:r>
      <w:r w:rsidRPr="00A6133A">
        <w:rPr>
          <w:lang w:val="en-GB"/>
        </w:rPr>
        <w:br/>
      </w:r>
      <w:r w:rsidRPr="00A6133A">
        <w:rPr>
          <w:lang w:val="en-GB"/>
        </w:rPr>
        <w:br/>
      </w:r>
      <w:r w:rsidRPr="00A6133A">
        <w:rPr>
          <w:lang w:val="en-GB"/>
        </w:rPr>
        <w:br/>
      </w:r>
      <w:r w:rsidRPr="00A6133A">
        <w:t>Analisi e predizione di varianti genetiche complesse mediante approcci basati sull'intelligenza artificiale</w:t>
      </w:r>
      <w:r w:rsidRPr="00A6133A">
        <w:br/>
      </w:r>
      <w:r w:rsidRPr="00A6133A">
        <w:br/>
        <w:t>Introduzione e contesto scientifico</w:t>
      </w:r>
      <w:r w:rsidRPr="00A6133A">
        <w:br/>
        <w:t>Il sequenziamento dell'</w:t>
      </w:r>
      <w:proofErr w:type="spellStart"/>
      <w:r w:rsidRPr="00A6133A">
        <w:t>esoma</w:t>
      </w:r>
      <w:proofErr w:type="spellEnd"/>
      <w:r w:rsidRPr="00A6133A">
        <w:t xml:space="preserve"> (ES) rappresenta da oltre un decennio uno dei principali strumenti per l'identificazione di varianti genetiche associate a malattie. Sebbene le regioni codificanti costituiscano solo circa l'1% del genoma, esse ospitano approssimativamente l'85% delle varianti patogene note, rendendo questo approccio estremamente efficace sia in ambito clinico che di ricerca.</w:t>
      </w:r>
      <w:r w:rsidRPr="00A6133A">
        <w:br/>
        <w:t>Tuttavia, l'analisi dell'</w:t>
      </w:r>
      <w:proofErr w:type="spellStart"/>
      <w:r w:rsidRPr="00A6133A">
        <w:t>esoma</w:t>
      </w:r>
      <w:proofErr w:type="spellEnd"/>
      <w:r w:rsidRPr="00A6133A">
        <w:t xml:space="preserve"> genera una mole enorme di dati: in media, vengono identificate decine di migliaia di varianti per ogni individuo. La sfida principale consiste, pertanto, nel filtrare e interpretare tali varianti al fine di individuare quelle effettivamente responsabili del fenotipo patologico.</w:t>
      </w:r>
      <w:r w:rsidRPr="00A6133A">
        <w:br/>
        <w:t>L'interpretazione si rivela ancora più complessa nel caso delle varianti *</w:t>
      </w:r>
      <w:proofErr w:type="spellStart"/>
      <w:r w:rsidRPr="00A6133A">
        <w:t>missense</w:t>
      </w:r>
      <w:proofErr w:type="spellEnd"/>
      <w:r w:rsidRPr="00A6133A">
        <w:t>*, in particolare quando queste:</w:t>
      </w:r>
      <w:r w:rsidRPr="00A6133A">
        <w:br/>
        <w:t>•    causano una parziale destabilizzazione della proteina,</w:t>
      </w:r>
      <w:r w:rsidRPr="00A6133A">
        <w:br/>
        <w:t>•    non rientrano nella categoria di perdita di funzione (*</w:t>
      </w:r>
      <w:proofErr w:type="spellStart"/>
      <w:r w:rsidRPr="00A6133A">
        <w:t>loss</w:t>
      </w:r>
      <w:proofErr w:type="spellEnd"/>
      <w:r w:rsidRPr="00A6133A">
        <w:t>-of-</w:t>
      </w:r>
      <w:proofErr w:type="spellStart"/>
      <w:r w:rsidRPr="00A6133A">
        <w:t>function</w:t>
      </w:r>
      <w:proofErr w:type="spellEnd"/>
      <w:r w:rsidRPr="00A6133A">
        <w:t xml:space="preserve">*, </w:t>
      </w:r>
      <w:proofErr w:type="spellStart"/>
      <w:r w:rsidRPr="00A6133A">
        <w:t>LoF</w:t>
      </w:r>
      <w:proofErr w:type="spellEnd"/>
      <w:r w:rsidRPr="00A6133A">
        <w:t>),</w:t>
      </w:r>
      <w:r w:rsidRPr="00A6133A">
        <w:br/>
        <w:t>•    ma agiscono invece come varianti di acquisizione di funzione (*gain-of-</w:t>
      </w:r>
      <w:proofErr w:type="spellStart"/>
      <w:r w:rsidRPr="00A6133A">
        <w:t>function</w:t>
      </w:r>
      <w:proofErr w:type="spellEnd"/>
      <w:r w:rsidRPr="00A6133A">
        <w:t xml:space="preserve">*, </w:t>
      </w:r>
      <w:proofErr w:type="spellStart"/>
      <w:r w:rsidRPr="00A6133A">
        <w:t>GoF</w:t>
      </w:r>
      <w:proofErr w:type="spellEnd"/>
      <w:r w:rsidRPr="00A6133A">
        <w:t>) o con effetto dominante-negativo (DN).</w:t>
      </w:r>
      <w:r w:rsidRPr="00A6133A">
        <w:br/>
        <w:t>Queste ultime categorie rappresentano una sfida significativa per gli attuali metodi computazionali, che mostrano prestazioni ridotte nella loro identificazione e classificazione.</w:t>
      </w:r>
      <w:r w:rsidRPr="00A6133A">
        <w:br/>
        <w:t>______</w:t>
      </w:r>
      <w:r w:rsidRPr="00A6133A">
        <w:br/>
        <w:t>Obiettivi del progetto</w:t>
      </w:r>
      <w:r w:rsidRPr="00A6133A">
        <w:br/>
        <w:t>Il progetto si propone di raggiungere i seguenti obiettivi:</w:t>
      </w:r>
      <w:r w:rsidRPr="00A6133A">
        <w:br/>
        <w:t>1. Raccolta e cura di casi clinici e molecolari</w:t>
      </w:r>
      <w:r w:rsidRPr="00A6133A">
        <w:br/>
        <w:t>Identificare e costituire un dataset di varianti genetiche associate a malattie, con particolare attenzione a:</w:t>
      </w:r>
      <w:r w:rsidRPr="00A6133A">
        <w:br/>
        <w:t>•    varianti di acquisizione di funzione (*gain-of-</w:t>
      </w:r>
      <w:proofErr w:type="spellStart"/>
      <w:r w:rsidRPr="00A6133A">
        <w:t>function</w:t>
      </w:r>
      <w:proofErr w:type="spellEnd"/>
      <w:r w:rsidRPr="00A6133A">
        <w:t>*)</w:t>
      </w:r>
      <w:r w:rsidRPr="00A6133A">
        <w:br/>
        <w:t>•    varianti con effetto dominante-negativo</w:t>
      </w:r>
      <w:r w:rsidRPr="00A6133A">
        <w:br/>
        <w:t>2. Analisi strutturale e funzionale delle varianti</w:t>
      </w:r>
      <w:r w:rsidRPr="00A6133A">
        <w:br/>
        <w:t>Studiare tali varianti nel contesto di:</w:t>
      </w:r>
      <w:r w:rsidRPr="00A6133A">
        <w:br/>
        <w:t xml:space="preserve">•    complessi </w:t>
      </w:r>
      <w:proofErr w:type="spellStart"/>
      <w:r w:rsidRPr="00A6133A">
        <w:t>multimolecolari</w:t>
      </w:r>
      <w:proofErr w:type="spellEnd"/>
      <w:r w:rsidRPr="00A6133A">
        <w:t xml:space="preserve"> (</w:t>
      </w:r>
      <w:proofErr w:type="spellStart"/>
      <w:r w:rsidRPr="00A6133A">
        <w:t>sopramolecolari</w:t>
      </w:r>
      <w:proofErr w:type="spellEnd"/>
      <w:r w:rsidRPr="00A6133A">
        <w:t>)</w:t>
      </w:r>
      <w:r w:rsidRPr="00A6133A">
        <w:br/>
        <w:t>•    interazioni proteina-proteina</w:t>
      </w:r>
      <w:r w:rsidRPr="00A6133A">
        <w:br/>
        <w:t>Ciò consentirà di comprendere più a fondo i meccanismi molecolari alla base della patogenicità. 3. Valutazione degli strumenti di intelligenza artificiale esistenti</w:t>
      </w:r>
      <w:r w:rsidRPr="00A6133A">
        <w:br/>
        <w:t>Utilizzo di strumenti basati sull'IA attualmente disponibili per la prioritizzazione e la predizione delle varianti, con l'obiettivo di:</w:t>
      </w:r>
      <w:r w:rsidRPr="00A6133A">
        <w:br/>
        <w:t>•    valutarne l'accuratezza nella predizione di varianti di difficile interpretazione</w:t>
      </w:r>
      <w:r w:rsidRPr="00A6133A">
        <w:br/>
        <w:t>•    confrontarne le prestazioni tra diverse categorie (</w:t>
      </w:r>
      <w:proofErr w:type="spellStart"/>
      <w:r w:rsidRPr="00A6133A">
        <w:t>LoF</w:t>
      </w:r>
      <w:proofErr w:type="spellEnd"/>
      <w:r w:rsidRPr="00A6133A">
        <w:t xml:space="preserve"> vs </w:t>
      </w:r>
      <w:proofErr w:type="spellStart"/>
      <w:r w:rsidRPr="00A6133A">
        <w:t>GoF</w:t>
      </w:r>
      <w:proofErr w:type="spellEnd"/>
      <w:r w:rsidRPr="00A6133A">
        <w:t xml:space="preserve"> vs DN)</w:t>
      </w:r>
      <w:r w:rsidRPr="00A6133A">
        <w:br/>
        <w:t>4. Sviluppo di nuovi approcci computazionali</w:t>
      </w:r>
      <w:r w:rsidRPr="00A6133A">
        <w:br/>
        <w:t>Come obiettivo finale, lo sviluppo di:</w:t>
      </w:r>
      <w:r w:rsidRPr="00A6133A">
        <w:br/>
        <w:t>•    nuovi algoritmi e software basati sull'intelligenza artificiale</w:t>
      </w:r>
      <w:r w:rsidRPr="00A6133A">
        <w:br/>
        <w:t>•    modelli in grado di migliorare la predizione funzionale di varianti complesse</w:t>
      </w:r>
      <w:r w:rsidRPr="00A6133A">
        <w:br/>
      </w:r>
      <w:r w:rsidRPr="00A6133A">
        <w:lastRenderedPageBreak/>
        <w:t>______</w:t>
      </w:r>
      <w:r w:rsidRPr="00A6133A">
        <w:br/>
        <w:t>Innovazione del progetto</w:t>
      </w:r>
      <w:r w:rsidRPr="00A6133A">
        <w:br/>
        <w:t>Il progetto presenta diversi aspetti innovativi di rilievo:</w:t>
      </w:r>
      <w:r w:rsidRPr="00A6133A">
        <w:br/>
        <w:t>•    Focus su varianti di difficile interpretazione, spesso trascurate dagli strumenti standard</w:t>
      </w:r>
      <w:r w:rsidRPr="00A6133A">
        <w:br/>
        <w:t xml:space="preserve">•    Analisi nel contesto di strutture </w:t>
      </w:r>
      <w:proofErr w:type="spellStart"/>
      <w:r w:rsidRPr="00A6133A">
        <w:t>supramolecolari</w:t>
      </w:r>
      <w:proofErr w:type="spellEnd"/>
      <w:r w:rsidRPr="00A6133A">
        <w:t>, ambito ancora relativamente poco esplorato</w:t>
      </w:r>
      <w:r w:rsidRPr="00A6133A">
        <w:br/>
        <w:t>•    Valutazione critica degli attuali sistemi di IA nella genomica clinica</w:t>
      </w:r>
      <w:r w:rsidRPr="00A6133A">
        <w:br/>
        <w:t>______</w:t>
      </w:r>
      <w:r w:rsidRPr="00A6133A">
        <w:br/>
        <w:t>Impatto atteso</w:t>
      </w:r>
      <w:r w:rsidRPr="00A6133A">
        <w:br/>
        <w:t>I risultati attesi includono:</w:t>
      </w:r>
      <w:r w:rsidRPr="00A6133A">
        <w:br/>
        <w:t xml:space="preserve">•    Una migliore comprensione dei meccanismi molecolari delle mutazioni </w:t>
      </w:r>
      <w:proofErr w:type="spellStart"/>
      <w:r w:rsidRPr="00A6133A">
        <w:t>missenso</w:t>
      </w:r>
      <w:proofErr w:type="spellEnd"/>
      <w:r w:rsidRPr="00A6133A">
        <w:br/>
        <w:t>•    Una maggiore accuratezza diagnostica nelle malattie genetiche</w:t>
      </w:r>
      <w:r w:rsidRPr="00A6133A">
        <w:br/>
        <w:t>•    Lo sviluppo di nuovi strumenti di IA per la genomica clinica</w:t>
      </w:r>
      <w:r w:rsidRPr="00A6133A">
        <w:br/>
        <w:t>Attraverso un approccio integrato che combina biologia strutturale, genomica e intelligenza artificiale, il progetto mira a migliorare significativamente l'interpretazione delle varianti genetiche e a contribuire al progresso della medicina di precisione.</w:t>
      </w:r>
    </w:p>
    <w:sectPr w:rsidR="009226D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3B8"/>
    <w:rsid w:val="00316D0D"/>
    <w:rsid w:val="005043B8"/>
    <w:rsid w:val="009226D0"/>
    <w:rsid w:val="00A6133A"/>
    <w:rsid w:val="00BE072B"/>
    <w:rsid w:val="00FD7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7FC060-6625-4DFF-B68B-362089827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043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043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043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043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043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043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043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043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043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043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043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043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043B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043B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043B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043B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043B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043B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043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043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043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043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043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043B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043B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043B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043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043B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043B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14D2E21C8246C4F90B12B8BCEFD7BBB" ma:contentTypeVersion="8" ma:contentTypeDescription="Creare un nuovo documento." ma:contentTypeScope="" ma:versionID="b487d2d03ed0a89e601a33d5dfe34b5a">
  <xsd:schema xmlns:xsd="http://www.w3.org/2001/XMLSchema" xmlns:xs="http://www.w3.org/2001/XMLSchema" xmlns:p="http://schemas.microsoft.com/office/2006/metadata/properties" xmlns:ns2="54cc9add-558c-4b84-8354-2b9beab7b7db" targetNamespace="http://schemas.microsoft.com/office/2006/metadata/properties" ma:root="true" ma:fieldsID="60d9a32abc5c6ccf7005d3b2effb2f15" ns2:_="">
    <xsd:import namespace="54cc9add-558c-4b84-8354-2b9beab7b7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cc9add-558c-4b84-8354-2b9beab7b7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6BB2998-9200-42A7-BA7F-8FA8028E5B95}"/>
</file>

<file path=customXml/itemProps2.xml><?xml version="1.0" encoding="utf-8"?>
<ds:datastoreItem xmlns:ds="http://schemas.openxmlformats.org/officeDocument/2006/customXml" ds:itemID="{DBE3A08E-9755-49C9-AA16-D74AB8B865EB}"/>
</file>

<file path=customXml/itemProps3.xml><?xml version="1.0" encoding="utf-8"?>
<ds:datastoreItem xmlns:ds="http://schemas.openxmlformats.org/officeDocument/2006/customXml" ds:itemID="{48D526B9-EB8E-4FB2-9E9D-7474653076B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992</Words>
  <Characters>5657</Characters>
  <Application>Microsoft Office Word</Application>
  <DocSecurity>0</DocSecurity>
  <Lines>47</Lines>
  <Paragraphs>13</Paragraphs>
  <ScaleCrop>false</ScaleCrop>
  <Company/>
  <LinksUpToDate>false</LinksUpToDate>
  <CharactersWithSpaces>6636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VITTORIA CUBELLIS</dc:creator>
  <cp:keywords/>
  <dc:description/>
  <cp:lastModifiedBy>MARIA VITTORIA CUBELLIS</cp:lastModifiedBy>
  <cp:revision>2</cp:revision>
  <dcterms:created xsi:type="dcterms:W3CDTF">2026-06-23T12:22:00Z</dcterms:created>
  <dcterms:modified xsi:type="dcterms:W3CDTF">2026-06-23T12:22:00Z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0f5daf55-00a5-42f0-bcd3-3c9cfc5658ff</vt:lpwstr>
  </property>
  <property fmtid="{D5CDD505-2E9C-101B-9397-08002B2CF9AE}" pid="3" name="MSIP_Label_2ad0b24d-6422-44b0-b3de-abb3a9e8c81a_Enabled">
    <vt:lpwstr>true</vt:lpwstr>
  </property>
  <property fmtid="{D5CDD505-2E9C-101B-9397-08002B2CF9AE}" pid="4" name="MSIP_Label_2ad0b24d-6422-44b0-b3de-abb3a9e8c81a_SetDate">
    <vt:lpwstr>2026-06-23T12:21:37Z</vt:lpwstr>
  </property>
  <property fmtid="{D5CDD505-2E9C-101B-9397-08002B2CF9AE}" pid="5" name="MSIP_Label_2ad0b24d-6422-44b0-b3de-abb3a9e8c81a_Method">
    <vt:lpwstr>Standard</vt:lpwstr>
  </property>
  <property fmtid="{D5CDD505-2E9C-101B-9397-08002B2CF9AE}" pid="6" name="MSIP_Label_2ad0b24d-6422-44b0-b3de-abb3a9e8c81a_Name">
    <vt:lpwstr>defa4170-0d19-0005-0004-bc88714345d2</vt:lpwstr>
  </property>
  <property fmtid="{D5CDD505-2E9C-101B-9397-08002B2CF9AE}" pid="7" name="MSIP_Label_2ad0b24d-6422-44b0-b3de-abb3a9e8c81a_SiteId">
    <vt:lpwstr>2fcfe26a-bb62-46b0-b1e3-28f9da0c45fd</vt:lpwstr>
  </property>
  <property fmtid="{D5CDD505-2E9C-101B-9397-08002B2CF9AE}" pid="8" name="MSIP_Label_2ad0b24d-6422-44b0-b3de-abb3a9e8c81a_ActionId">
    <vt:lpwstr>2ed89cad-e807-4d94-8bda-b1f728a342e6</vt:lpwstr>
  </property>
  <property fmtid="{D5CDD505-2E9C-101B-9397-08002B2CF9AE}" pid="9" name="MSIP_Label_2ad0b24d-6422-44b0-b3de-abb3a9e8c81a_ContentBits">
    <vt:lpwstr>0</vt:lpwstr>
  </property>
  <property fmtid="{D5CDD505-2E9C-101B-9397-08002B2CF9AE}" pid="10" name="MSIP_Label_2ad0b24d-6422-44b0-b3de-abb3a9e8c81a_Tag">
    <vt:lpwstr>10, 3, 0, 1</vt:lpwstr>
  </property>
  <property fmtid="{D5CDD505-2E9C-101B-9397-08002B2CF9AE}" pid="11" name="ContentTypeId">
    <vt:lpwstr>0x010100A14D2E21C8246C4F90B12B8BCEFD7BBB</vt:lpwstr>
  </property>
</Properties>
</file>